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Marianne" w:hAnsi="Marianne"/>
        </w:rPr>
      </w:pPr>
      <w:r>
        <w:rPr>
          <w:rFonts w:ascii="Marianne" w:hAnsi="Marianne"/>
        </w:rPr>
      </w:r>
    </w:p>
    <w:p>
      <w:pPr>
        <w:pStyle w:val="Rfrence9pt6ptInterligneExactement115pt"/>
        <w:ind w:left="142" w:hanging="0"/>
        <w:rPr>
          <w:rFonts w:ascii="Marianne" w:hAnsi="Marianne" w:cs="Arial"/>
          <w:sz w:val="22"/>
          <w:szCs w:val="22"/>
        </w:rPr>
      </w:pPr>
      <w:r>
        <w:rPr>
          <w:rFonts w:cs="Arial" w:ascii="Marianne" w:hAnsi="Marianne"/>
          <w:sz w:val="22"/>
          <w:szCs w:val="22"/>
        </w:rPr>
      </w:r>
    </w:p>
    <w:p>
      <w:pPr>
        <w:pStyle w:val="Sommaire"/>
        <w:spacing w:before="0" w:after="0"/>
        <w:rPr>
          <w:rFonts w:ascii="Marianne" w:hAnsi="Marianne" w:cs="Arial"/>
          <w:bCs/>
          <w:caps w:val="false"/>
          <w:smallCaps w:val="false"/>
          <w:sz w:val="22"/>
          <w:szCs w:val="22"/>
        </w:rPr>
      </w:pPr>
      <w:r>
        <w:rPr>
          <w:rFonts w:cs="Arial" w:ascii="Marianne" w:hAnsi="Marianne"/>
          <w:bCs/>
          <w:caps w:val="false"/>
          <w:smallCaps w:val="false"/>
          <w:sz w:val="22"/>
          <w:szCs w:val="22"/>
        </w:rPr>
        <w:t>NOTE POUR LA FIXATION DU PRIX DES PRODUITS PÉTROLIERS</w:t>
      </w:r>
    </w:p>
    <w:p>
      <w:pPr>
        <w:pStyle w:val="Normal"/>
        <w:jc w:val="center"/>
        <w:rPr>
          <w:rFonts w:ascii="Marianne" w:hAnsi="Marianne"/>
        </w:rPr>
      </w:pPr>
      <w:r>
        <w:rPr>
          <w:rFonts w:ascii="Marianne" w:hAnsi="Marianne"/>
        </w:rPr>
      </w:r>
    </w:p>
    <w:p>
      <w:pPr>
        <w:pStyle w:val="Normal"/>
        <w:jc w:val="center"/>
        <w:rPr>
          <w:rFonts w:ascii="Marianne" w:hAnsi="Marianne" w:cs="Arial"/>
          <w:sz w:val="22"/>
          <w:szCs w:val="22"/>
        </w:rPr>
      </w:pPr>
      <w:r>
        <w:rPr>
          <w:rFonts w:cs="Arial" w:ascii="Marianne" w:hAnsi="Marianne"/>
          <w:sz w:val="22"/>
          <w:szCs w:val="22"/>
        </w:rPr>
        <w:t>À Monsieur le Préfet de La Réunion</w:t>
      </w:r>
    </w:p>
    <w:p>
      <w:pPr>
        <w:pStyle w:val="Normal"/>
        <w:jc w:val="center"/>
        <w:rPr>
          <w:rFonts w:ascii="Marianne" w:hAnsi="Marianne" w:cs="Arial"/>
          <w:sz w:val="22"/>
          <w:szCs w:val="22"/>
        </w:rPr>
      </w:pPr>
      <w:r>
        <w:rPr>
          <w:rFonts w:cs="Arial" w:ascii="Marianne" w:hAnsi="Marianne"/>
          <w:sz w:val="22"/>
          <w:szCs w:val="22"/>
        </w:rPr>
        <w:t>Sous couvert de la Secrétaire Générale pour les Affaires régionales</w:t>
      </w:r>
    </w:p>
    <w:p>
      <w:pPr>
        <w:pStyle w:val="Normal"/>
        <w:rPr>
          <w:rFonts w:ascii="Marianne" w:hAnsi="Marianne" w:cs="Arial"/>
          <w:sz w:val="22"/>
          <w:szCs w:val="22"/>
        </w:rPr>
      </w:pPr>
      <w:r>
        <w:rPr>
          <w:rFonts w:cs="Arial" w:ascii="Marianne" w:hAnsi="Marianne"/>
          <w:sz w:val="22"/>
          <w:szCs w:val="22"/>
        </w:rPr>
      </w:r>
    </w:p>
    <w:p>
      <w:pPr>
        <w:pStyle w:val="Normal"/>
        <w:ind w:right="1132" w:hanging="0"/>
        <w:jc w:val="right"/>
        <w:rPr>
          <w:rFonts w:ascii="Marianne" w:hAnsi="Marianne" w:cs="Arial"/>
          <w:sz w:val="22"/>
          <w:szCs w:val="22"/>
        </w:rPr>
      </w:pPr>
      <w:r>
        <w:rPr>
          <w:rFonts w:cs="Arial" w:ascii="Marianne" w:hAnsi="Marianne"/>
          <w:sz w:val="22"/>
          <w:szCs w:val="22"/>
        </w:rPr>
      </w:r>
    </w:p>
    <w:p>
      <w:pPr>
        <w:pStyle w:val="Normal"/>
        <w:ind w:right="1132" w:hanging="0"/>
        <w:jc w:val="right"/>
        <w:rPr>
          <w:rFonts w:ascii="Marianne" w:hAnsi="Marianne" w:cs="Arial"/>
          <w:sz w:val="22"/>
          <w:szCs w:val="22"/>
        </w:rPr>
      </w:pPr>
      <w:r>
        <w:rPr>
          <w:rFonts w:cs="Arial" w:ascii="Marianne" w:hAnsi="Marianne"/>
          <w:sz w:val="22"/>
          <w:szCs w:val="22"/>
        </w:rPr>
        <w:t>Saint-Denis, le 27 décembre 2023</w:t>
      </w:r>
    </w:p>
    <w:p>
      <w:pPr>
        <w:pStyle w:val="Normal"/>
        <w:rPr>
          <w:rFonts w:ascii="Marianne" w:hAnsi="Marianne"/>
          <w:sz w:val="24"/>
        </w:rPr>
      </w:pPr>
      <w:r>
        <w:rPr>
          <w:rFonts w:ascii="Marianne" w:hAnsi="Marianne"/>
          <w:sz w:val="24"/>
        </w:rPr>
      </w:r>
    </w:p>
    <w:p>
      <w:pPr>
        <w:pStyle w:val="Titre5"/>
        <w:ind w:left="851" w:hanging="0"/>
        <w:rPr/>
      </w:pPr>
      <w:r>
        <w:rPr>
          <w:rFonts w:cs="Arial" w:ascii="Marianne" w:hAnsi="Marianne"/>
          <w:sz w:val="22"/>
          <w:szCs w:val="22"/>
        </w:rPr>
        <w:t>Objet</w:t>
      </w:r>
      <w:r>
        <w:rPr>
          <w:rFonts w:cs="Courier New" w:ascii="Marianne" w:hAnsi="Marianne"/>
          <w:sz w:val="22"/>
          <w:szCs w:val="22"/>
        </w:rPr>
        <w:t> </w:t>
      </w:r>
      <w:r>
        <w:rPr>
          <w:rFonts w:cs="Arial" w:ascii="Marianne" w:hAnsi="Marianne"/>
          <w:sz w:val="22"/>
          <w:szCs w:val="22"/>
        </w:rPr>
        <w:t>: Prix des produits p</w:t>
      </w:r>
      <w:r>
        <w:rPr>
          <w:rFonts w:cs="Marianne" w:ascii="Marianne" w:hAnsi="Marianne"/>
          <w:sz w:val="22"/>
          <w:szCs w:val="22"/>
        </w:rPr>
        <w:t>é</w:t>
      </w:r>
      <w:r>
        <w:rPr>
          <w:rFonts w:cs="Arial" w:ascii="Marianne" w:hAnsi="Marianne"/>
          <w:sz w:val="22"/>
          <w:szCs w:val="22"/>
        </w:rPr>
        <w:t>troliers au 1</w:t>
      </w:r>
      <w:r>
        <w:rPr>
          <w:rFonts w:cs="Arial" w:ascii="Marianne" w:hAnsi="Marianne"/>
          <w:sz w:val="22"/>
          <w:szCs w:val="22"/>
          <w:vertAlign w:val="superscript"/>
        </w:rPr>
        <w:t>er</w:t>
      </w:r>
      <w:r>
        <w:rPr>
          <w:rFonts w:cs="Arial" w:ascii="Marianne" w:hAnsi="Marianne"/>
          <w:sz w:val="22"/>
          <w:szCs w:val="22"/>
        </w:rPr>
        <w:t xml:space="preserve"> janvier 2024</w:t>
      </w:r>
    </w:p>
    <w:p>
      <w:pPr>
        <w:pStyle w:val="Normal"/>
        <w:ind w:left="851" w:hanging="0"/>
        <w:rPr>
          <w:rFonts w:ascii="Marianne" w:hAnsi="Marianne" w:cs="Arial"/>
          <w:sz w:val="22"/>
          <w:szCs w:val="22"/>
        </w:rPr>
      </w:pPr>
      <w:r>
        <w:rPr>
          <w:rFonts w:cs="Arial" w:ascii="Marianne" w:hAnsi="Marianne"/>
          <w:sz w:val="22"/>
          <w:szCs w:val="22"/>
        </w:rPr>
        <w:t>PJ: Projet d’arrêté (1)</w:t>
      </w:r>
    </w:p>
    <w:p>
      <w:pPr>
        <w:pStyle w:val="Normal"/>
        <w:ind w:left="851" w:right="1132" w:hanging="0"/>
        <w:jc w:val="center"/>
        <w:rPr>
          <w:rFonts w:ascii="Marianne" w:hAnsi="Marianne" w:cs="Arial"/>
          <w:b/>
          <w:sz w:val="22"/>
          <w:szCs w:val="22"/>
          <w:u w:val="single"/>
        </w:rPr>
      </w:pPr>
      <w:r>
        <w:rPr>
          <w:rFonts w:cs="Arial" w:ascii="Marianne" w:hAnsi="Marianne"/>
          <w:b/>
          <w:sz w:val="22"/>
          <w:szCs w:val="22"/>
          <w:u w:val="single"/>
        </w:rPr>
      </w:r>
    </w:p>
    <w:p>
      <w:pPr>
        <w:pStyle w:val="Normal"/>
        <w:ind w:left="851" w:right="565" w:hanging="0"/>
        <w:jc w:val="center"/>
        <w:rPr/>
      </w:pPr>
      <w:r>
        <w:rPr>
          <w:rFonts w:cs="Arial" w:ascii="Marianne" w:hAnsi="Marianne"/>
          <w:b/>
          <w:bCs/>
          <w:sz w:val="22"/>
          <w:szCs w:val="22"/>
          <w:u w:val="single"/>
        </w:rPr>
        <w:t>La détermination des prix au 1</w:t>
      </w:r>
      <w:r>
        <w:rPr>
          <w:rFonts w:cs="Arial" w:ascii="Marianne" w:hAnsi="Marianne"/>
          <w:b/>
          <w:bCs/>
          <w:sz w:val="22"/>
          <w:szCs w:val="22"/>
          <w:u w:val="single"/>
          <w:vertAlign w:val="superscript"/>
        </w:rPr>
        <w:t>er</w:t>
      </w:r>
      <w:r>
        <w:rPr>
          <w:rFonts w:cs="Arial" w:ascii="Marianne" w:hAnsi="Marianne"/>
          <w:b/>
          <w:bCs/>
          <w:sz w:val="22"/>
          <w:szCs w:val="22"/>
          <w:u w:val="single"/>
        </w:rPr>
        <w:t xml:space="preserve"> janvier 2024</w:t>
      </w:r>
    </w:p>
    <w:p>
      <w:pPr>
        <w:pStyle w:val="Normal"/>
        <w:ind w:left="851" w:right="565" w:hanging="0"/>
        <w:jc w:val="center"/>
        <w:rPr>
          <w:rFonts w:ascii="Marianne" w:hAnsi="Marianne" w:cs="Arial"/>
          <w:b/>
          <w:i/>
          <w:i/>
          <w:szCs w:val="22"/>
        </w:rPr>
      </w:pPr>
      <w:r>
        <w:rPr/>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pPr>
      <w:r>
        <w:rPr>
          <w:rFonts w:cs="Arial" w:ascii="Marianne" w:hAnsi="Marianne"/>
          <w:sz w:val="22"/>
          <w:szCs w:val="22"/>
        </w:rPr>
        <w:t>En application des dispositions des articles R.</w:t>
      </w:r>
      <w:r>
        <w:rPr>
          <w:rFonts w:cs="Courier New" w:ascii="Marianne" w:hAnsi="Marianne"/>
          <w:sz w:val="22"/>
          <w:szCs w:val="22"/>
        </w:rPr>
        <w:t> </w:t>
      </w:r>
      <w:r>
        <w:rPr>
          <w:rFonts w:cs="Arial" w:ascii="Marianne" w:hAnsi="Marianne"/>
          <w:sz w:val="22"/>
          <w:szCs w:val="22"/>
        </w:rPr>
        <w:t>671-14 à R.</w:t>
      </w:r>
      <w:r>
        <w:rPr>
          <w:rFonts w:cs="Courier New" w:ascii="Marianne" w:hAnsi="Marianne"/>
          <w:sz w:val="22"/>
          <w:szCs w:val="22"/>
        </w:rPr>
        <w:t> </w:t>
      </w:r>
      <w:r>
        <w:rPr>
          <w:rFonts w:cs="Arial" w:ascii="Marianne" w:hAnsi="Marianne"/>
          <w:sz w:val="22"/>
          <w:szCs w:val="22"/>
        </w:rPr>
        <w:t>671-22 du code de l’énergie réglementant les prix des produits pétroliers ainsi que le fonctionnement des marchés de gros pour la distribution de ces produits dans le département de La Réunion, j’ai l’honneur de vous adresser les éléments de composition et d’évolution des prix des carburants et du gaz au 1</w:t>
      </w:r>
      <w:r>
        <w:rPr>
          <w:rFonts w:cs="Arial" w:ascii="Marianne" w:hAnsi="Marianne"/>
          <w:sz w:val="22"/>
          <w:szCs w:val="22"/>
          <w:vertAlign w:val="superscript"/>
        </w:rPr>
        <w:t>er</w:t>
      </w:r>
      <w:r>
        <w:rPr>
          <w:rFonts w:cs="Arial" w:ascii="Marianne" w:hAnsi="Marianne"/>
          <w:sz w:val="22"/>
          <w:szCs w:val="22"/>
        </w:rPr>
        <w:t xml:space="preserve"> janvier 2024.</w:t>
      </w:r>
    </w:p>
    <w:p>
      <w:pPr>
        <w:pStyle w:val="BlockText"/>
        <w:ind w:left="851" w:right="565" w:hanging="0"/>
        <w:rPr>
          <w:rFonts w:ascii="Marianne" w:hAnsi="Marianne"/>
          <w:szCs w:val="24"/>
        </w:rPr>
      </w:pPr>
      <w:r>
        <w:rPr>
          <w:rFonts w:ascii="Marianne" w:hAnsi="Marianne"/>
          <w:szCs w:val="24"/>
        </w:rPr>
      </w:r>
    </w:p>
    <w:p>
      <w:pPr>
        <w:pStyle w:val="BlockText"/>
        <w:ind w:left="851" w:right="565" w:hanging="0"/>
        <w:rPr>
          <w:rFonts w:ascii="Marianne" w:hAnsi="Marianne" w:cs="Arial"/>
          <w:sz w:val="22"/>
          <w:szCs w:val="22"/>
        </w:rPr>
      </w:pPr>
      <w:r>
        <w:rPr>
          <w:rFonts w:cs="Arial" w:ascii="Marianne" w:hAnsi="Marianne"/>
          <w:sz w:val="22"/>
          <w:szCs w:val="22"/>
        </w:rPr>
        <w:t>Les prix des carburants sont établis en application du code précité et se fondent sur les cotations PLATT’S SINGAPOUR. Il s’agit respectivement de Gasoline 95 Unleaded pour le supercarburant et de Gasoil 10 ppm pour le gazole.</w:t>
      </w:r>
    </w:p>
    <w:p>
      <w:pPr>
        <w:pStyle w:val="BlockText"/>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Pour janvier 2024, les cotations sont en baisse pour le supercarburant sans plomb (- 7,44 %) et le gazole (- 7,11 %), ce qui représente en valeur, respectivement environ - 7,32 et - 7,62 $ par baril.</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 fret des carburants est composé d’un seul bateau spot ce mois-ci et il est en très nette hausse (+ 41 %), influençant le prix de vente final consommateur de + 1 ct pour chaque carburant.</w:t>
      </w:r>
    </w:p>
    <w:p>
      <w:pPr>
        <w:pStyle w:val="BlockText"/>
        <w:ind w:left="851" w:right="565" w:hanging="0"/>
        <w:rPr>
          <w:rFonts w:ascii="Marianne" w:hAnsi="Marianne"/>
          <w:sz w:val="22"/>
          <w:szCs w:val="22"/>
        </w:rPr>
      </w:pPr>
      <w:r>
        <w:rPr>
          <w:rFonts w:ascii="Marianne" w:hAnsi="Marianne"/>
          <w:sz w:val="22"/>
          <w:szCs w:val="22"/>
        </w:rPr>
      </w:r>
    </w:p>
    <w:p>
      <w:pPr>
        <w:pStyle w:val="Normal"/>
        <w:ind w:left="851" w:right="565" w:hanging="0"/>
        <w:rPr/>
      </w:pPr>
      <w:r>
        <w:rPr>
          <w:rFonts w:cs="Arial" w:ascii="Marianne" w:hAnsi="Marianne"/>
          <w:sz w:val="22"/>
          <w:szCs w:val="22"/>
        </w:rPr>
        <w:t>En ce qui concerne le gaz, la cotation globale est stable.</w:t>
      </w:r>
    </w:p>
    <w:p>
      <w:pPr>
        <w:pStyle w:val="Normal"/>
        <w:ind w:left="851" w:right="565" w:hanging="0"/>
        <w:rPr>
          <w:rFonts w:ascii="Marianne" w:hAnsi="Marianne" w:cs="Arial"/>
          <w:sz w:val="22"/>
          <w:szCs w:val="22"/>
        </w:rPr>
      </w:pPr>
      <w:r>
        <w:rPr>
          <w:rFonts w:cs="Arial" w:ascii="Marianne" w:hAnsi="Marianne"/>
          <w:sz w:val="22"/>
          <w:szCs w:val="22"/>
        </w:rPr>
        <w:t>Pour rappel, le contrat de fret d’approvisionnement du gaz a évolué au mois de mai, pour une période de 12 mois.</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Les tarifs du Grand Port Maritime de La Réunion ont été réévalués pour 2024. Ils sont en légère hausse (environ + 2,5 %).</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Pour les carburants, les structures intègrent les surestaries de l’année 2022 et ce, jusqu’à concurrence des volumes importés en 2022.</w:t>
      </w:r>
    </w:p>
    <w:p>
      <w:pPr>
        <w:pStyle w:val="BlockText"/>
        <w:ind w:left="851" w:right="565" w:hanging="0"/>
        <w:rPr>
          <w:rFonts w:ascii="Marianne" w:hAnsi="Marianne" w:cs="Arial"/>
          <w:sz w:val="22"/>
          <w:szCs w:val="22"/>
        </w:rPr>
      </w:pPr>
      <w:r>
        <w:rPr>
          <w:rFonts w:cs="Arial" w:ascii="Marianne" w:hAnsi="Marianne"/>
          <w:sz w:val="22"/>
          <w:szCs w:val="22"/>
        </w:rPr>
        <w:t>Pour le gaz, dans l’attente de justificatifs complémentaires, le montant appliqué est celui de 2023 et fera l’objet d’un rattrapage dès février 2024.</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 xml:space="preserve">La parité est en légère hausse, elle s’établit à 1,0860 $ pour 1 € pour les carburants (+ 0,88 %) et le gaz (+ 1,03 %). </w:t>
      </w:r>
    </w:p>
    <w:p>
      <w:pPr>
        <w:pStyle w:val="BlockText"/>
        <w:ind w:left="851" w:right="565" w:hanging="0"/>
        <w:rPr>
          <w:rFonts w:ascii="Marianne" w:hAnsi="Marianne" w:cs="Arial"/>
          <w:sz w:val="22"/>
          <w:szCs w:val="22"/>
        </w:rPr>
      </w:pPr>
      <w:r>
        <w:rPr>
          <w:rFonts w:cs="Arial" w:ascii="Marianne" w:hAnsi="Marianne"/>
          <w:sz w:val="22"/>
          <w:szCs w:val="22"/>
        </w:rPr>
        <w:t>Elle influence le prix final du gazole à hauteur de – 1 ct.</w:t>
      </w:r>
    </w:p>
    <w:p>
      <w:pPr>
        <w:pStyle w:val="BlockText"/>
        <w:ind w:left="851" w:right="565" w:hanging="0"/>
        <w:rPr>
          <w:rFonts w:ascii="Marianne" w:hAnsi="Marianne" w:cs="Arial"/>
          <w:sz w:val="22"/>
          <w:szCs w:val="22"/>
        </w:rPr>
      </w:pPr>
      <w:r>
        <w:rPr>
          <w:rFonts w:cs="Arial" w:ascii="Marianne" w:hAnsi="Marianne"/>
          <w:sz w:val="22"/>
          <w:szCs w:val="22"/>
        </w:rPr>
        <w:t xml:space="preserve">Concernant le gaz, ce paramètre pèse pour environ 9 cts de diminution. </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Les taux de coulage des carburants retenus pour janvier 2024 sont ceux appliqués en 2023, dans l’attente de la transmission des informations chiffrées, et un rattrapage sera effectué dès février 2024.</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Comme chaque année au mois d’août, les frais de passage ont évolué pour 12 mois. Ils s’élèvent à 1,8973 ct/l pour les carburants et à 281,7512 €/tonne pour le gaz.</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Les marges de gros et de détail sont inchangées pour les carburants et le gaz.</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 détail des baisses et hausses considérées est explicité dans le rapport ci-dessous :</w:t>
      </w:r>
    </w:p>
    <w:p>
      <w:pPr>
        <w:pStyle w:val="BlockText"/>
        <w:rPr>
          <w:rFonts w:ascii="Marianne" w:hAnsi="Marianne" w:cs="Arial"/>
          <w:sz w:val="22"/>
          <w:szCs w:val="22"/>
        </w:rPr>
      </w:pPr>
      <w:r>
        <w:rPr>
          <w:rFonts w:cs="Arial" w:ascii="Marianne" w:hAnsi="Marianne"/>
          <w:sz w:val="22"/>
          <w:szCs w:val="22"/>
        </w:rPr>
      </w:r>
      <w:r>
        <w:br w:type="page"/>
      </w:r>
    </w:p>
    <w:p>
      <w:pPr>
        <w:pStyle w:val="Titre2"/>
        <w:ind w:firstLine="708"/>
        <w:rPr/>
      </w:pPr>
      <w:r>
        <w:rPr>
          <w:rFonts w:ascii="Marianne" w:hAnsi="Marianne"/>
          <w:i w:val="false"/>
          <w:sz w:val="22"/>
        </w:rPr>
        <w:t xml:space="preserve">1. </w:t>
      </w:r>
      <w:bookmarkStart w:id="0" w:name="_Toc115096727"/>
      <w:r>
        <w:rPr>
          <w:rFonts w:ascii="Marianne" w:hAnsi="Marianne"/>
          <w:i w:val="false"/>
          <w:sz w:val="22"/>
        </w:rPr>
        <w:t>Les prix CAF</w:t>
      </w:r>
      <w:bookmarkEnd w:id="0"/>
    </w:p>
    <w:p>
      <w:pPr>
        <w:pStyle w:val="Normal"/>
        <w:rPr/>
      </w:pPr>
      <w:r>
        <w:rPr/>
      </w:r>
    </w:p>
    <w:p>
      <w:pPr>
        <w:pStyle w:val="Titre3"/>
        <w:tabs>
          <w:tab w:val="clear" w:pos="709"/>
          <w:tab w:val="left" w:pos="850" w:leader="none"/>
        </w:tabs>
        <w:ind w:left="850" w:hanging="0"/>
        <w:rPr>
          <w:rFonts w:ascii="Marianne" w:hAnsi="Marianne"/>
          <w:spacing w:val="0"/>
          <w:sz w:val="22"/>
        </w:rPr>
      </w:pPr>
      <w:r>
        <w:rPr>
          <w:rFonts w:ascii="Marianne" w:hAnsi="Marianne"/>
          <w:spacing w:val="0"/>
          <w:sz w:val="22"/>
        </w:rPr>
        <w:tab/>
        <w:t xml:space="preserve">1.1 le </w:t>
      </w:r>
      <w:bookmarkStart w:id="1" w:name="_Toc106367577"/>
      <w:bookmarkStart w:id="2" w:name="_Toc106367686"/>
      <w:bookmarkStart w:id="3" w:name="_Toc106611987"/>
      <w:r>
        <w:rPr>
          <w:rFonts w:ascii="Marianne" w:hAnsi="Marianne"/>
          <w:spacing w:val="0"/>
          <w:sz w:val="22"/>
        </w:rPr>
        <w:t>sans-plomb</w:t>
      </w:r>
      <w:bookmarkEnd w:id="1"/>
      <w:bookmarkEnd w:id="2"/>
      <w:bookmarkEnd w:id="3"/>
    </w:p>
    <w:tbl>
      <w:tblPr>
        <w:tblW w:w="8945" w:type="dxa"/>
        <w:jc w:val="left"/>
        <w:tblInd w:w="1279" w:type="dxa"/>
        <w:tblLayout w:type="fixed"/>
        <w:tblCellMar>
          <w:top w:w="0" w:type="dxa"/>
          <w:left w:w="70" w:type="dxa"/>
          <w:bottom w:w="0" w:type="dxa"/>
          <w:right w:w="70" w:type="dxa"/>
        </w:tblCellMar>
        <w:tblLook w:firstRow="0" w:noVBand="0" w:lastRow="0" w:firstColumn="0" w:lastColumn="0" w:noHBand="0" w:val="0000"/>
      </w:tblPr>
      <w:tblGrid>
        <w:gridCol w:w="4694"/>
        <w:gridCol w:w="1417"/>
        <w:gridCol w:w="1417"/>
        <w:gridCol w:w="1416"/>
      </w:tblGrid>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rPr>
            </w:pPr>
            <w:r>
              <w:rPr>
                <w:rFonts w:ascii="Marianne" w:hAnsi="Marianne"/>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false"/>
              <w:jc w:val="center"/>
              <w:rPr>
                <w:rFonts w:ascii="Marianne" w:hAnsi="Marianne" w:cs="Arial"/>
              </w:rPr>
            </w:pPr>
            <w:r>
              <w:rPr>
                <w:rFonts w:cs="Arial" w:ascii="Marianne" w:hAnsi="Marianne"/>
              </w:rPr>
              <w:t>déc-23</w:t>
            </w:r>
          </w:p>
        </w:tc>
        <w:tc>
          <w:tcPr>
            <w:tcW w:w="1417" w:type="dxa"/>
            <w:tcBorders>
              <w:top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jc w:val="center"/>
              <w:rPr>
                <w:rFonts w:ascii="Marianne" w:hAnsi="Marianne" w:cs="Arial"/>
              </w:rPr>
            </w:pPr>
            <w:r>
              <w:rPr>
                <w:rFonts w:cs="Arial" w:ascii="Marianne" w:hAnsi="Marianne"/>
              </w:rPr>
              <w:t>janv-24</w:t>
            </w:r>
          </w:p>
        </w:tc>
        <w:tc>
          <w:tcPr>
            <w:tcW w:w="1416" w:type="dxa"/>
            <w:tcBorders>
              <w:top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jc w:val="center"/>
              <w:rPr>
                <w:rFonts w:ascii="Marianne" w:hAnsi="Marianne" w:cs="Arial"/>
              </w:rPr>
            </w:pPr>
            <w:r>
              <w:rPr>
                <w:rFonts w:cs="Arial" w:ascii="Marianne" w:hAnsi="Marianne"/>
              </w:rPr>
              <w:t>Evolution</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sz w:val="22"/>
                <w:szCs w:val="22"/>
                <w:vertAlign w:val="superscript"/>
              </w:rPr>
            </w:pPr>
            <w:r>
              <w:rPr>
                <w:rFonts w:ascii="Marianne" w:hAnsi="Marianne"/>
              </w:rPr>
              <w:t>Moyenne des cotations ($/bbl) *</w:t>
            </w:r>
          </w:p>
        </w:tc>
        <w:tc>
          <w:tcPr>
            <w:tcW w:w="1417"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98,2980</w:t>
            </w:r>
          </w:p>
        </w:tc>
        <w:tc>
          <w:tcPr>
            <w:tcW w:w="1417"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90,9807</w:t>
            </w:r>
          </w:p>
        </w:tc>
        <w:tc>
          <w:tcPr>
            <w:tcW w:w="1416"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hanging="0"/>
              <w:jc w:val="right"/>
              <w:rPr>
                <w:rFonts w:ascii="Marianne" w:hAnsi="Marianne" w:cs="Arial"/>
              </w:rPr>
            </w:pPr>
            <w:r>
              <w:rPr>
                <w:rFonts w:cs="Arial" w:ascii="Marianne" w:hAnsi="Marianne"/>
              </w:rPr>
              <w:t>-7,44%</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sz w:val="22"/>
                <w:szCs w:val="22"/>
              </w:rPr>
            </w:pPr>
            <w:r>
              <w:rPr>
                <w:rFonts w:ascii="Marianne" w:hAnsi="Marianne"/>
              </w:rPr>
              <w:t>Prix FOB ($/hl)</w:t>
            </w:r>
          </w:p>
        </w:tc>
        <w:tc>
          <w:tcPr>
            <w:tcW w:w="1417"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65,8217</w:t>
            </w:r>
          </w:p>
        </w:tc>
        <w:tc>
          <w:tcPr>
            <w:tcW w:w="1417"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61,2193</w:t>
            </w:r>
          </w:p>
        </w:tc>
        <w:tc>
          <w:tcPr>
            <w:tcW w:w="1416"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hanging="0"/>
              <w:jc w:val="right"/>
              <w:rPr>
                <w:rFonts w:ascii="Marianne" w:hAnsi="Marianne" w:cs="Arial"/>
              </w:rPr>
            </w:pPr>
            <w:r>
              <w:rPr>
                <w:rFonts w:cs="Arial" w:ascii="Marianne" w:hAnsi="Marianne"/>
              </w:rPr>
              <w:t>-6,99%</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sz w:val="22"/>
                <w:szCs w:val="22"/>
              </w:rPr>
            </w:pPr>
            <w:r>
              <w:rPr>
                <w:rFonts w:ascii="Marianne" w:hAnsi="Marianne"/>
              </w:rPr>
              <w:t>Fret ($/hl) (hors surestaries)</w:t>
            </w:r>
          </w:p>
        </w:tc>
        <w:tc>
          <w:tcPr>
            <w:tcW w:w="1417"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2,2380</w:t>
            </w:r>
          </w:p>
        </w:tc>
        <w:tc>
          <w:tcPr>
            <w:tcW w:w="1417"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3,1637</w:t>
            </w:r>
          </w:p>
        </w:tc>
        <w:tc>
          <w:tcPr>
            <w:tcW w:w="1416"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hanging="0"/>
              <w:jc w:val="right"/>
              <w:rPr>
                <w:rFonts w:ascii="Marianne" w:hAnsi="Marianne" w:cs="Arial"/>
              </w:rPr>
            </w:pPr>
            <w:r>
              <w:rPr>
                <w:rFonts w:cs="Arial" w:ascii="Marianne" w:hAnsi="Marianne"/>
              </w:rPr>
              <w:t>41,36%</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sz w:val="22"/>
                <w:szCs w:val="22"/>
              </w:rPr>
            </w:pPr>
            <w:r>
              <w:rPr>
                <w:rFonts w:ascii="Marianne" w:hAnsi="Marianne"/>
              </w:rPr>
              <w:t>Prix CAF ($/hl)</w:t>
            </w:r>
          </w:p>
        </w:tc>
        <w:tc>
          <w:tcPr>
            <w:tcW w:w="1417"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68,3126</w:t>
            </w:r>
          </w:p>
        </w:tc>
        <w:tc>
          <w:tcPr>
            <w:tcW w:w="1417"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64,6571</w:t>
            </w:r>
          </w:p>
        </w:tc>
        <w:tc>
          <w:tcPr>
            <w:tcW w:w="1416"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hanging="0"/>
              <w:jc w:val="right"/>
              <w:rPr>
                <w:rFonts w:ascii="Marianne" w:hAnsi="Marianne" w:cs="Arial"/>
              </w:rPr>
            </w:pPr>
            <w:r>
              <w:rPr>
                <w:rFonts w:cs="Arial" w:ascii="Marianne" w:hAnsi="Marianne"/>
              </w:rPr>
              <w:t>-5,35%</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Cours moyen de l'euro **</w:t>
            </w:r>
          </w:p>
        </w:tc>
        <w:tc>
          <w:tcPr>
            <w:tcW w:w="1417"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1,0765</w:t>
            </w:r>
          </w:p>
        </w:tc>
        <w:tc>
          <w:tcPr>
            <w:tcW w:w="1417"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firstLine="200"/>
              <w:jc w:val="right"/>
              <w:rPr>
                <w:rFonts w:ascii="Marianne" w:hAnsi="Marianne" w:cs="Arial"/>
              </w:rPr>
            </w:pPr>
            <w:r>
              <w:rPr>
                <w:rFonts w:cs="Arial" w:ascii="Marianne" w:hAnsi="Marianne"/>
              </w:rPr>
              <w:t>1,0860</w:t>
            </w:r>
          </w:p>
        </w:tc>
        <w:tc>
          <w:tcPr>
            <w:tcW w:w="1416" w:type="dxa"/>
            <w:tcBorders>
              <w:bottom w:val="single" w:sz="4" w:space="0" w:color="000000"/>
              <w:right w:val="single" w:sz="4" w:space="0" w:color="000000"/>
            </w:tcBorders>
            <w:shd w:color="auto" w:fill="auto" w:val="clear"/>
            <w:tcMar>
              <w:left w:w="10" w:type="dxa"/>
              <w:right w:w="10" w:type="dxa"/>
            </w:tcMar>
            <w:vAlign w:val="center"/>
          </w:tcPr>
          <w:p>
            <w:pPr>
              <w:pStyle w:val="Normal"/>
              <w:widowControl w:val="false"/>
              <w:ind w:right="150" w:hanging="0"/>
              <w:jc w:val="right"/>
              <w:rPr>
                <w:rFonts w:ascii="Marianne" w:hAnsi="Marianne" w:cs="Arial"/>
              </w:rPr>
            </w:pPr>
            <w:r>
              <w:rPr>
                <w:rFonts w:cs="Arial" w:ascii="Marianne" w:hAnsi="Marianne"/>
              </w:rPr>
              <w:t>0,88%</w:t>
            </w:r>
          </w:p>
        </w:tc>
      </w:tr>
      <w:tr>
        <w:trPr>
          <w:trHeight w:val="340" w:hRule="atLeast"/>
        </w:trPr>
        <w:tc>
          <w:tcPr>
            <w:tcW w:w="4694" w:type="dxa"/>
            <w:tcBorders>
              <w:top w:val="single" w:sz="4" w:space="0" w:color="000000"/>
              <w:left w:val="single" w:sz="4" w:space="0" w:color="000000"/>
              <w:bottom w:val="single" w:sz="4" w:space="0" w:color="000000"/>
              <w:right w:val="single" w:sz="4" w:space="0" w:color="000000"/>
            </w:tcBorders>
            <w:shd w:color="auto" w:fill="F2DBDB" w:val="clear"/>
          </w:tcPr>
          <w:p>
            <w:pPr>
              <w:pStyle w:val="Normal"/>
              <w:widowControl w:val="false"/>
              <w:rPr>
                <w:rFonts w:ascii="Marianne" w:hAnsi="Marianne" w:cs="Arial"/>
                <w:sz w:val="22"/>
                <w:szCs w:val="22"/>
              </w:rPr>
            </w:pPr>
            <w:r>
              <w:rPr>
                <w:rFonts w:ascii="Marianne" w:hAnsi="Marianne"/>
              </w:rPr>
              <w:t>Prix CAF (€/hl)</w:t>
            </w:r>
          </w:p>
        </w:tc>
        <w:tc>
          <w:tcPr>
            <w:tcW w:w="1417" w:type="dxa"/>
            <w:tcBorders>
              <w:left w:val="single" w:sz="4" w:space="0" w:color="000000"/>
              <w:bottom w:val="single" w:sz="4" w:space="0" w:color="000000"/>
              <w:right w:val="single" w:sz="4" w:space="0" w:color="000000"/>
            </w:tcBorders>
            <w:shd w:color="000000" w:fill="F2DCDB" w:val="clear"/>
            <w:tcMar>
              <w:left w:w="10" w:type="dxa"/>
              <w:right w:w="10" w:type="dxa"/>
            </w:tcMar>
            <w:vAlign w:val="center"/>
          </w:tcPr>
          <w:p>
            <w:pPr>
              <w:pStyle w:val="Normal"/>
              <w:widowControl w:val="false"/>
              <w:ind w:right="150" w:firstLine="201"/>
              <w:jc w:val="right"/>
              <w:rPr>
                <w:rFonts w:ascii="Marianne" w:hAnsi="Marianne" w:cs="Arial"/>
                <w:b/>
                <w:bCs/>
              </w:rPr>
            </w:pPr>
            <w:r>
              <w:rPr>
                <w:rFonts w:cs="Arial" w:ascii="Marianne" w:hAnsi="Marianne"/>
                <w:b/>
                <w:bCs/>
              </w:rPr>
              <w:t>63,4581</w:t>
            </w:r>
          </w:p>
        </w:tc>
        <w:tc>
          <w:tcPr>
            <w:tcW w:w="1417" w:type="dxa"/>
            <w:tcBorders>
              <w:bottom w:val="single" w:sz="4" w:space="0" w:color="000000"/>
              <w:right w:val="single" w:sz="4" w:space="0" w:color="000000"/>
            </w:tcBorders>
            <w:shd w:color="000000" w:fill="F2DCDB" w:val="clear"/>
            <w:tcMar>
              <w:left w:w="10" w:type="dxa"/>
              <w:right w:w="10" w:type="dxa"/>
            </w:tcMar>
            <w:vAlign w:val="center"/>
          </w:tcPr>
          <w:p>
            <w:pPr>
              <w:pStyle w:val="Normal"/>
              <w:widowControl w:val="false"/>
              <w:ind w:right="150" w:firstLine="201"/>
              <w:jc w:val="right"/>
              <w:rPr>
                <w:rFonts w:ascii="Marianne" w:hAnsi="Marianne" w:cs="Arial"/>
                <w:b/>
                <w:bCs/>
              </w:rPr>
            </w:pPr>
            <w:r>
              <w:rPr>
                <w:rFonts w:cs="Arial" w:ascii="Marianne" w:hAnsi="Marianne"/>
                <w:b/>
                <w:bCs/>
              </w:rPr>
              <w:t>59,5369</w:t>
            </w:r>
          </w:p>
        </w:tc>
        <w:tc>
          <w:tcPr>
            <w:tcW w:w="1416" w:type="dxa"/>
            <w:tcBorders>
              <w:bottom w:val="single" w:sz="4" w:space="0" w:color="000000"/>
              <w:right w:val="single" w:sz="4" w:space="0" w:color="000000"/>
            </w:tcBorders>
            <w:shd w:color="000000" w:fill="F2DCDB" w:val="clear"/>
            <w:tcMar>
              <w:left w:w="10" w:type="dxa"/>
              <w:right w:w="10" w:type="dxa"/>
            </w:tcMar>
            <w:vAlign w:val="center"/>
          </w:tcPr>
          <w:p>
            <w:pPr>
              <w:pStyle w:val="Normal"/>
              <w:widowControl w:val="false"/>
              <w:ind w:right="150" w:hanging="0"/>
              <w:jc w:val="right"/>
              <w:rPr>
                <w:rFonts w:ascii="Marianne" w:hAnsi="Marianne" w:cs="Arial"/>
                <w:b/>
                <w:bCs/>
              </w:rPr>
            </w:pPr>
            <w:r>
              <w:rPr>
                <w:rFonts w:cs="Arial" w:ascii="Marianne" w:hAnsi="Marianne"/>
                <w:b/>
                <w:bCs/>
              </w:rPr>
              <w:t>-6,18%</w:t>
            </w:r>
          </w:p>
        </w:tc>
      </w:tr>
    </w:tbl>
    <w:p>
      <w:pPr>
        <w:pStyle w:val="Sdfootnote"/>
        <w:spacing w:before="0" w:after="57"/>
        <w:ind w:left="1276" w:hanging="0"/>
        <w:rPr/>
      </w:pPr>
      <w:r>
        <w:rPr>
          <w:rFonts w:ascii="Marianne" w:hAnsi="Marianne"/>
        </w:rPr>
        <w:t xml:space="preserve"> </w:t>
      </w:r>
      <w:r>
        <w:rPr>
          <w:rFonts w:ascii="Marianne" w:hAnsi="Marianne"/>
          <w:i/>
          <w:iCs/>
          <w:sz w:val="16"/>
          <w:szCs w:val="16"/>
        </w:rPr>
        <w:t>* La moyenne des cotations a été calculée sur la période du 1</w:t>
      </w:r>
      <w:r>
        <w:rPr>
          <w:rFonts w:ascii="Marianne" w:hAnsi="Marianne"/>
          <w:i/>
          <w:iCs/>
          <w:sz w:val="16"/>
          <w:szCs w:val="16"/>
          <w:vertAlign w:val="superscript"/>
        </w:rPr>
        <w:t>er</w:t>
      </w:r>
      <w:r>
        <w:rPr>
          <w:rFonts w:ascii="Marianne" w:hAnsi="Marianne"/>
          <w:i/>
          <w:iCs/>
          <w:sz w:val="16"/>
          <w:szCs w:val="16"/>
        </w:rPr>
        <w:t xml:space="preserve"> au 21 décembre 2023</w:t>
      </w:r>
    </w:p>
    <w:p>
      <w:pPr>
        <w:pStyle w:val="Normal"/>
        <w:ind w:left="1276" w:right="1134" w:hanging="0"/>
        <w:jc w:val="left"/>
        <w:rPr/>
      </w:pPr>
      <w:r>
        <w:rPr>
          <w:rFonts w:ascii="Marianne" w:hAnsi="Marianne"/>
          <w:i/>
          <w:iCs/>
          <w:sz w:val="16"/>
          <w:szCs w:val="16"/>
        </w:rPr>
        <w:t>** La moyenne des cours de l’euro a été établie à partir des mêmes jours de cotation</w:t>
      </w:r>
    </w:p>
    <w:p>
      <w:pPr>
        <w:pStyle w:val="Footnote"/>
        <w:ind w:left="1276" w:hanging="0"/>
        <w:rPr>
          <w:rFonts w:ascii="Marianne" w:hAnsi="Marianne" w:cs="Arial"/>
          <w:i/>
          <w:i/>
          <w:sz w:val="16"/>
          <w:szCs w:val="16"/>
        </w:rPr>
      </w:pPr>
      <w:r>
        <w:rPr>
          <w:rFonts w:cs="Arial" w:ascii="Marianne" w:hAnsi="Marianne"/>
          <w:i/>
          <w:sz w:val="16"/>
          <w:szCs w:val="16"/>
        </w:rPr>
      </w:r>
    </w:p>
    <w:p>
      <w:pPr>
        <w:pStyle w:val="Normal"/>
        <w:ind w:left="851" w:right="565" w:hanging="0"/>
        <w:rPr>
          <w:rFonts w:ascii="Marianne" w:hAnsi="Marianne" w:cs="Arial"/>
          <w:sz w:val="22"/>
          <w:szCs w:val="22"/>
        </w:rPr>
      </w:pPr>
      <w:r>
        <w:rPr>
          <w:rFonts w:cs="Arial" w:ascii="Marianne" w:hAnsi="Marianne"/>
          <w:sz w:val="22"/>
          <w:szCs w:val="22"/>
        </w:rPr>
        <w:t>On constate une baisse de la cotation moyenne ce mois-ci (- 7,44 %), perceptible sur le prix final consommateur à hauteur d’environ – 5 cts.</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L’appréciation de l’euro face au dollar (+ 0,88 %) est sans incidence.</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Le fret est quant à lui en hausse par rapport au mois dernier (+ 41,36 %), et pèse sur le prix final du produit (+ 1 ct).</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La hausse des surestaries (+ 44 %) est sans influence perceptible pour le consommateur.</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pPr>
      <w:r>
        <w:rPr>
          <w:rFonts w:cs="Arial" w:ascii="Marianne" w:hAnsi="Marianne"/>
          <w:sz w:val="22"/>
          <w:szCs w:val="22"/>
        </w:rPr>
        <w:t xml:space="preserve">Au final, </w:t>
      </w:r>
      <w:r>
        <w:rPr>
          <w:rFonts w:cs="Arial" w:ascii="Marianne" w:hAnsi="Marianne"/>
          <w:b/>
          <w:bCs/>
          <w:sz w:val="22"/>
          <w:szCs w:val="22"/>
        </w:rPr>
        <w:t>le prix CAF connait une baisse de – 6,18 %.</w:t>
      </w:r>
    </w:p>
    <w:p>
      <w:pPr>
        <w:pStyle w:val="Normal"/>
        <w:ind w:left="851" w:right="1132" w:hanging="0"/>
        <w:rPr>
          <w:rFonts w:ascii="Marianne" w:hAnsi="Marianne" w:cs="Arial"/>
          <w:b/>
          <w:bCs/>
          <w:sz w:val="22"/>
          <w:szCs w:val="22"/>
        </w:rPr>
      </w:pPr>
      <w:r>
        <w:rPr>
          <w:rFonts w:cs="Arial" w:ascii="Marianne" w:hAnsi="Marianne"/>
          <w:b/>
          <w:bCs/>
          <w:sz w:val="22"/>
          <w:szCs w:val="22"/>
        </w:rPr>
      </w:r>
    </w:p>
    <w:p>
      <w:pPr>
        <w:pStyle w:val="Titre3"/>
        <w:ind w:left="850" w:firstLine="566"/>
        <w:rPr>
          <w:rFonts w:ascii="Marianne" w:hAnsi="Marianne"/>
          <w:spacing w:val="0"/>
          <w:sz w:val="22"/>
        </w:rPr>
      </w:pPr>
      <w:r>
        <w:rPr>
          <w:rFonts w:ascii="Marianne" w:hAnsi="Marianne"/>
          <w:spacing w:val="0"/>
          <w:sz w:val="22"/>
        </w:rPr>
        <w:t xml:space="preserve">1.2 </w:t>
      </w:r>
      <w:bookmarkStart w:id="4" w:name="_Toc106367578"/>
      <w:bookmarkStart w:id="5" w:name="_Toc106367687"/>
      <w:bookmarkStart w:id="6" w:name="_Toc106611988"/>
      <w:r>
        <w:rPr>
          <w:rFonts w:ascii="Marianne" w:hAnsi="Marianne"/>
          <w:spacing w:val="0"/>
          <w:sz w:val="22"/>
        </w:rPr>
        <w:t>Le Gazole</w:t>
      </w:r>
      <w:bookmarkEnd w:id="4"/>
      <w:bookmarkEnd w:id="5"/>
      <w:bookmarkEnd w:id="6"/>
    </w:p>
    <w:tbl>
      <w:tblPr>
        <w:tblW w:w="8930" w:type="dxa"/>
        <w:jc w:val="left"/>
        <w:tblInd w:w="1271" w:type="dxa"/>
        <w:tblLayout w:type="fixed"/>
        <w:tblCellMar>
          <w:top w:w="0" w:type="dxa"/>
          <w:left w:w="70" w:type="dxa"/>
          <w:bottom w:w="0" w:type="dxa"/>
          <w:right w:w="70" w:type="dxa"/>
        </w:tblCellMar>
        <w:tblLook w:firstRow="0" w:noVBand="0" w:lastRow="0" w:firstColumn="0" w:lastColumn="0" w:noHBand="0" w:val="0000"/>
      </w:tblPr>
      <w:tblGrid>
        <w:gridCol w:w="4678"/>
        <w:gridCol w:w="1416"/>
        <w:gridCol w:w="1418"/>
        <w:gridCol w:w="1417"/>
      </w:tblGrid>
      <w:tr>
        <w:trPr>
          <w:trHeight w:val="340" w:hRule="atLeast"/>
        </w:trPr>
        <w:tc>
          <w:tcPr>
            <w:tcW w:w="46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cs="Arial" w:ascii="Marianne" w:hAnsi="Marianne"/>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déc-23</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janv-24</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Evolution</w:t>
            </w:r>
          </w:p>
        </w:tc>
      </w:tr>
      <w:tr>
        <w:trPr>
          <w:trHeight w:val="340" w:hRule="atLeast"/>
        </w:trPr>
        <w:tc>
          <w:tcPr>
            <w:tcW w:w="4678" w:type="dxa"/>
            <w:tcBorders>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Moyenne des cotations ($/bbl) *</w:t>
            </w:r>
          </w:p>
        </w:tc>
        <w:tc>
          <w:tcPr>
            <w:tcW w:w="141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107,1900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99,5640</w:t>
            </w:r>
          </w:p>
        </w:tc>
        <w:tc>
          <w:tcPr>
            <w:tcW w:w="1417" w:type="dxa"/>
            <w:tcBorders>
              <w:bottom w:val="single" w:sz="4" w:space="0" w:color="000000"/>
              <w:right w:val="single" w:sz="4" w:space="0" w:color="000000"/>
            </w:tcBorders>
            <w:shd w:color="auto" w:fill="auto" w:val="clear"/>
            <w:vAlign w:val="center"/>
          </w:tcPr>
          <w:p>
            <w:pPr>
              <w:pStyle w:val="Normal"/>
              <w:widowControl w:val="false"/>
              <w:ind w:right="75" w:hanging="0"/>
              <w:jc w:val="center"/>
              <w:rPr>
                <w:rFonts w:ascii="Marianne" w:hAnsi="Marianne" w:cs="Arial"/>
              </w:rPr>
            </w:pPr>
            <w:r>
              <w:rPr>
                <w:rFonts w:cs="Arial" w:ascii="Marianne" w:hAnsi="Marianne"/>
              </w:rPr>
              <w:t>-7,11%</w:t>
            </w:r>
          </w:p>
        </w:tc>
      </w:tr>
      <w:tr>
        <w:trPr>
          <w:trHeight w:val="340" w:hRule="atLeast"/>
        </w:trPr>
        <w:tc>
          <w:tcPr>
            <w:tcW w:w="4678" w:type="dxa"/>
            <w:tcBorders>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Prix FOB ($/hl)</w:t>
            </w:r>
          </w:p>
        </w:tc>
        <w:tc>
          <w:tcPr>
            <w:tcW w:w="141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69,4595</w:t>
            </w:r>
          </w:p>
        </w:tc>
        <w:tc>
          <w:tcPr>
            <w:tcW w:w="1418" w:type="dxa"/>
            <w:tcBorders>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64,6629</w:t>
            </w:r>
          </w:p>
        </w:tc>
        <w:tc>
          <w:tcPr>
            <w:tcW w:w="1417" w:type="dxa"/>
            <w:tcBorders>
              <w:bottom w:val="single" w:sz="4" w:space="0" w:color="000000"/>
              <w:right w:val="single" w:sz="4" w:space="0" w:color="000000"/>
            </w:tcBorders>
            <w:shd w:color="auto" w:fill="auto" w:val="clear"/>
            <w:vAlign w:val="center"/>
          </w:tcPr>
          <w:p>
            <w:pPr>
              <w:pStyle w:val="Normal"/>
              <w:widowControl w:val="false"/>
              <w:ind w:right="75" w:hanging="0"/>
              <w:jc w:val="center"/>
              <w:rPr>
                <w:rFonts w:ascii="Marianne" w:hAnsi="Marianne" w:cs="Arial"/>
              </w:rPr>
            </w:pPr>
            <w:r>
              <w:rPr>
                <w:rFonts w:cs="Arial" w:ascii="Marianne" w:hAnsi="Marianne"/>
              </w:rPr>
              <w:t>-6,91%</w:t>
            </w:r>
          </w:p>
        </w:tc>
      </w:tr>
      <w:tr>
        <w:trPr>
          <w:trHeight w:val="340" w:hRule="atLeast"/>
        </w:trPr>
        <w:tc>
          <w:tcPr>
            <w:tcW w:w="4678" w:type="dxa"/>
            <w:tcBorders>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Fret ($/hl) (hors surestaries)</w:t>
            </w:r>
          </w:p>
        </w:tc>
        <w:tc>
          <w:tcPr>
            <w:tcW w:w="141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2,5048</w:t>
            </w:r>
          </w:p>
        </w:tc>
        <w:tc>
          <w:tcPr>
            <w:tcW w:w="1418" w:type="dxa"/>
            <w:tcBorders>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3,5408</w:t>
            </w:r>
          </w:p>
        </w:tc>
        <w:tc>
          <w:tcPr>
            <w:tcW w:w="1417" w:type="dxa"/>
            <w:tcBorders>
              <w:bottom w:val="single" w:sz="4" w:space="0" w:color="000000"/>
              <w:right w:val="single" w:sz="4" w:space="0" w:color="000000"/>
            </w:tcBorders>
            <w:shd w:color="auto" w:fill="auto" w:val="clear"/>
            <w:vAlign w:val="center"/>
          </w:tcPr>
          <w:p>
            <w:pPr>
              <w:pStyle w:val="Normal"/>
              <w:widowControl w:val="false"/>
              <w:ind w:right="75" w:hanging="0"/>
              <w:jc w:val="center"/>
              <w:rPr>
                <w:rFonts w:ascii="Marianne" w:hAnsi="Marianne" w:cs="Arial"/>
              </w:rPr>
            </w:pPr>
            <w:r>
              <w:rPr>
                <w:rFonts w:cs="Arial" w:ascii="Marianne" w:hAnsi="Marianne"/>
              </w:rPr>
              <w:t>41,36%</w:t>
            </w:r>
          </w:p>
        </w:tc>
      </w:tr>
      <w:tr>
        <w:trPr>
          <w:trHeight w:val="340" w:hRule="atLeast"/>
        </w:trPr>
        <w:tc>
          <w:tcPr>
            <w:tcW w:w="4678" w:type="dxa"/>
            <w:tcBorders>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Prix CAF ($/hl)</w:t>
            </w:r>
          </w:p>
        </w:tc>
        <w:tc>
          <w:tcPr>
            <w:tcW w:w="141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72,3861</w:t>
            </w:r>
          </w:p>
        </w:tc>
        <w:tc>
          <w:tcPr>
            <w:tcW w:w="1418" w:type="dxa"/>
            <w:tcBorders>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68,6425</w:t>
            </w:r>
          </w:p>
        </w:tc>
        <w:tc>
          <w:tcPr>
            <w:tcW w:w="1417" w:type="dxa"/>
            <w:tcBorders>
              <w:bottom w:val="single" w:sz="4" w:space="0" w:color="000000"/>
              <w:right w:val="single" w:sz="4" w:space="0" w:color="000000"/>
            </w:tcBorders>
            <w:shd w:color="auto" w:fill="auto" w:val="clear"/>
            <w:vAlign w:val="center"/>
          </w:tcPr>
          <w:p>
            <w:pPr>
              <w:pStyle w:val="Normal"/>
              <w:widowControl w:val="false"/>
              <w:ind w:right="75" w:hanging="0"/>
              <w:jc w:val="center"/>
              <w:rPr>
                <w:rFonts w:ascii="Marianne" w:hAnsi="Marianne" w:cs="Arial"/>
              </w:rPr>
            </w:pPr>
            <w:r>
              <w:rPr>
                <w:rFonts w:cs="Arial" w:ascii="Marianne" w:hAnsi="Marianne"/>
              </w:rPr>
              <w:t>-5,17%</w:t>
            </w:r>
          </w:p>
        </w:tc>
      </w:tr>
      <w:tr>
        <w:trPr>
          <w:trHeight w:val="340" w:hRule="atLeast"/>
        </w:trPr>
        <w:tc>
          <w:tcPr>
            <w:tcW w:w="4678" w:type="dxa"/>
            <w:tcBorders>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ascii="Marianne" w:hAnsi="Marianne"/>
              </w:rPr>
              <w:t>Cours moyen de l'euro **</w:t>
            </w:r>
          </w:p>
        </w:tc>
        <w:tc>
          <w:tcPr>
            <w:tcW w:w="141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1,0765</w:t>
            </w:r>
          </w:p>
        </w:tc>
        <w:tc>
          <w:tcPr>
            <w:tcW w:w="1418" w:type="dxa"/>
            <w:tcBorders>
              <w:bottom w:val="single" w:sz="4" w:space="0" w:color="000000"/>
              <w:right w:val="single" w:sz="4" w:space="0" w:color="000000"/>
            </w:tcBorders>
            <w:shd w:color="auto" w:fill="auto" w:val="clear"/>
            <w:vAlign w:val="center"/>
          </w:tcPr>
          <w:p>
            <w:pPr>
              <w:pStyle w:val="Normal"/>
              <w:widowControl w:val="false"/>
              <w:ind w:right="75" w:firstLine="200"/>
              <w:jc w:val="right"/>
              <w:rPr>
                <w:rFonts w:ascii="Marianne" w:hAnsi="Marianne" w:cs="Arial"/>
              </w:rPr>
            </w:pPr>
            <w:r>
              <w:rPr>
                <w:rFonts w:cs="Arial" w:ascii="Marianne" w:hAnsi="Marianne"/>
              </w:rPr>
              <w:t>1,0860</w:t>
            </w:r>
          </w:p>
        </w:tc>
        <w:tc>
          <w:tcPr>
            <w:tcW w:w="1417" w:type="dxa"/>
            <w:tcBorders>
              <w:bottom w:val="single" w:sz="4" w:space="0" w:color="000000"/>
              <w:right w:val="single" w:sz="4" w:space="0" w:color="000000"/>
            </w:tcBorders>
            <w:shd w:color="auto" w:fill="auto" w:val="clear"/>
            <w:vAlign w:val="center"/>
          </w:tcPr>
          <w:p>
            <w:pPr>
              <w:pStyle w:val="Normal"/>
              <w:widowControl w:val="false"/>
              <w:ind w:right="75" w:hanging="0"/>
              <w:jc w:val="center"/>
              <w:rPr>
                <w:rFonts w:ascii="Marianne" w:hAnsi="Marianne" w:cs="Arial"/>
              </w:rPr>
            </w:pPr>
            <w:r>
              <w:rPr>
                <w:rFonts w:cs="Arial" w:ascii="Marianne" w:hAnsi="Marianne"/>
              </w:rPr>
              <w:t>0,88%</w:t>
            </w:r>
          </w:p>
        </w:tc>
      </w:tr>
      <w:tr>
        <w:trPr>
          <w:trHeight w:val="340" w:hRule="atLeast"/>
        </w:trPr>
        <w:tc>
          <w:tcPr>
            <w:tcW w:w="4678" w:type="dxa"/>
            <w:tcBorders>
              <w:left w:val="single" w:sz="4" w:space="0" w:color="000000"/>
              <w:bottom w:val="single" w:sz="4" w:space="0" w:color="000000"/>
              <w:right w:val="single" w:sz="4" w:space="0" w:color="000000"/>
            </w:tcBorders>
            <w:shd w:color="auto" w:fill="F2DCDB" w:val="clear"/>
          </w:tcPr>
          <w:p>
            <w:pPr>
              <w:pStyle w:val="Normal"/>
              <w:widowControl w:val="false"/>
              <w:rPr>
                <w:rFonts w:ascii="Marianne" w:hAnsi="Marianne" w:cs="Arial"/>
              </w:rPr>
            </w:pPr>
            <w:r>
              <w:rPr>
                <w:rFonts w:ascii="Marianne" w:hAnsi="Marianne"/>
              </w:rPr>
              <w:t>Prix CAF (€/hl)</w:t>
            </w:r>
          </w:p>
        </w:tc>
        <w:tc>
          <w:tcPr>
            <w:tcW w:w="1416" w:type="dxa"/>
            <w:tcBorders>
              <w:left w:val="single" w:sz="4" w:space="0" w:color="000000"/>
              <w:bottom w:val="single" w:sz="4" w:space="0" w:color="000000"/>
              <w:right w:val="single" w:sz="4" w:space="0" w:color="000000"/>
            </w:tcBorders>
            <w:shd w:color="000000" w:fill="F2DCDB" w:val="clear"/>
            <w:vAlign w:val="center"/>
          </w:tcPr>
          <w:p>
            <w:pPr>
              <w:pStyle w:val="Normal"/>
              <w:widowControl w:val="false"/>
              <w:ind w:right="75" w:firstLine="201"/>
              <w:jc w:val="right"/>
              <w:rPr>
                <w:rFonts w:ascii="Marianne" w:hAnsi="Marianne" w:cs="Arial"/>
                <w:b/>
                <w:bCs/>
              </w:rPr>
            </w:pPr>
            <w:r>
              <w:rPr>
                <w:rFonts w:cs="Arial" w:ascii="Marianne" w:hAnsi="Marianne"/>
                <w:b/>
                <w:bCs/>
              </w:rPr>
              <w:t>67,2421</w:t>
            </w:r>
          </w:p>
        </w:tc>
        <w:tc>
          <w:tcPr>
            <w:tcW w:w="1418" w:type="dxa"/>
            <w:tcBorders>
              <w:bottom w:val="single" w:sz="4" w:space="0" w:color="000000"/>
              <w:right w:val="single" w:sz="4" w:space="0" w:color="000000"/>
            </w:tcBorders>
            <w:shd w:color="000000" w:fill="F2DCDB" w:val="clear"/>
            <w:vAlign w:val="center"/>
          </w:tcPr>
          <w:p>
            <w:pPr>
              <w:pStyle w:val="Normal"/>
              <w:widowControl w:val="false"/>
              <w:ind w:right="75" w:firstLine="201"/>
              <w:jc w:val="right"/>
              <w:rPr>
                <w:rFonts w:ascii="Marianne" w:hAnsi="Marianne" w:cs="Arial"/>
                <w:b/>
                <w:bCs/>
              </w:rPr>
            </w:pPr>
            <w:r>
              <w:rPr>
                <w:rFonts w:cs="Arial" w:ascii="Marianne" w:hAnsi="Marianne"/>
                <w:b/>
                <w:bCs/>
              </w:rPr>
              <w:t>63,2067</w:t>
            </w:r>
          </w:p>
        </w:tc>
        <w:tc>
          <w:tcPr>
            <w:tcW w:w="1417" w:type="dxa"/>
            <w:tcBorders>
              <w:bottom w:val="single" w:sz="4" w:space="0" w:color="000000"/>
              <w:right w:val="single" w:sz="4" w:space="0" w:color="000000"/>
            </w:tcBorders>
            <w:shd w:color="000000" w:fill="F2DCDB" w:val="clear"/>
            <w:vAlign w:val="center"/>
          </w:tcPr>
          <w:p>
            <w:pPr>
              <w:pStyle w:val="Normal"/>
              <w:widowControl w:val="false"/>
              <w:ind w:right="75" w:hanging="0"/>
              <w:jc w:val="center"/>
              <w:rPr>
                <w:rFonts w:ascii="Marianne" w:hAnsi="Marianne" w:cs="Arial"/>
                <w:b/>
                <w:bCs/>
              </w:rPr>
            </w:pPr>
            <w:r>
              <w:rPr>
                <w:rFonts w:cs="Arial" w:ascii="Marianne" w:hAnsi="Marianne"/>
                <w:b/>
                <w:bCs/>
              </w:rPr>
              <w:t>-6,00%</w:t>
            </w:r>
          </w:p>
        </w:tc>
      </w:tr>
    </w:tbl>
    <w:p>
      <w:pPr>
        <w:pStyle w:val="Sdfootnote"/>
        <w:spacing w:before="0" w:after="57"/>
        <w:ind w:left="1276" w:hanging="0"/>
        <w:rPr/>
      </w:pPr>
      <w:r>
        <w:rPr>
          <w:rFonts w:ascii="Marianne" w:hAnsi="Marianne"/>
          <w:i/>
          <w:iCs/>
          <w:sz w:val="16"/>
          <w:szCs w:val="16"/>
        </w:rPr>
        <w:t>* La moyenne des cotations a été calculée sur la période du 1</w:t>
      </w:r>
      <w:r>
        <w:rPr>
          <w:rFonts w:ascii="Marianne" w:hAnsi="Marianne"/>
          <w:i/>
          <w:iCs/>
          <w:sz w:val="16"/>
          <w:szCs w:val="16"/>
          <w:vertAlign w:val="superscript"/>
        </w:rPr>
        <w:t>er</w:t>
      </w:r>
      <w:r>
        <w:rPr>
          <w:rFonts w:ascii="Marianne" w:hAnsi="Marianne"/>
          <w:i/>
          <w:iCs/>
          <w:sz w:val="16"/>
          <w:szCs w:val="16"/>
        </w:rPr>
        <w:t xml:space="preserve"> au 21 décembre 2023</w:t>
      </w:r>
    </w:p>
    <w:p>
      <w:pPr>
        <w:pStyle w:val="Normal"/>
        <w:ind w:left="1276" w:right="1134" w:hanging="0"/>
        <w:jc w:val="left"/>
        <w:rPr/>
      </w:pPr>
      <w:r>
        <w:rPr>
          <w:rFonts w:ascii="Marianne" w:hAnsi="Marianne"/>
          <w:i/>
          <w:iCs/>
          <w:sz w:val="16"/>
          <w:szCs w:val="16"/>
        </w:rPr>
        <w:t>** La moyenne des cours de l’euro a été établie à partir des mêmes jours de cotation</w:t>
      </w:r>
    </w:p>
    <w:p>
      <w:pPr>
        <w:pStyle w:val="Footnote"/>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La cotation moyenne est en baisse (- 7,11 %), diminuant le prix final consommateur de 6 cts environ.</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La hausse de la parité quant à elle, vient accentuer cette baisse, pour 1 ct environ.</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L’évolution du fret à la hausse est perceptible par le consommateur à hauteur de + 1 ct.</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La hausse des surestaries (+ 44 %) est sans influence perceptible pour le consommateur.</w:t>
      </w:r>
    </w:p>
    <w:p>
      <w:pPr>
        <w:pStyle w:val="Normal"/>
        <w:ind w:left="851" w:right="565" w:hanging="0"/>
        <w:rPr>
          <w:rFonts w:ascii="Marianne" w:hAnsi="Marianne" w:cs="Arial"/>
          <w:sz w:val="22"/>
          <w:szCs w:val="22"/>
        </w:rPr>
      </w:pPr>
      <w:r>
        <w:rPr>
          <w:rFonts w:cs="Arial" w:ascii="Marianne" w:hAnsi="Marianne"/>
          <w:sz w:val="22"/>
          <w:szCs w:val="22"/>
        </w:rPr>
      </w:r>
    </w:p>
    <w:p>
      <w:pPr>
        <w:pStyle w:val="Normal"/>
        <w:ind w:left="851" w:right="565" w:hanging="0"/>
        <w:rPr/>
      </w:pPr>
      <w:r>
        <w:rPr>
          <w:rFonts w:cs="Arial" w:ascii="Marianne" w:hAnsi="Marianne"/>
          <w:sz w:val="22"/>
          <w:szCs w:val="22"/>
        </w:rPr>
        <w:t xml:space="preserve">Au final, </w:t>
      </w:r>
      <w:r>
        <w:rPr>
          <w:rFonts w:cs="Arial" w:ascii="Marianne" w:hAnsi="Marianne"/>
          <w:b/>
          <w:bCs/>
          <w:sz w:val="22"/>
          <w:szCs w:val="22"/>
        </w:rPr>
        <w:t>le prix CAF est en baisse de – 6 %.</w:t>
      </w:r>
    </w:p>
    <w:p>
      <w:pPr>
        <w:pStyle w:val="Titre3"/>
        <w:ind w:left="850" w:firstLine="566"/>
        <w:rPr>
          <w:rFonts w:ascii="Marianne" w:hAnsi="Marianne"/>
          <w:spacing w:val="0"/>
          <w:sz w:val="22"/>
        </w:rPr>
      </w:pPr>
      <w:r>
        <w:rPr>
          <w:rFonts w:ascii="Marianne" w:hAnsi="Marianne"/>
          <w:spacing w:val="0"/>
          <w:sz w:val="22"/>
        </w:rPr>
        <w:t>1.3 L</w:t>
      </w:r>
      <w:bookmarkStart w:id="7" w:name="_Toc106367579"/>
      <w:bookmarkStart w:id="8" w:name="_Toc106367688"/>
      <w:bookmarkStart w:id="9" w:name="_Toc106611989"/>
      <w:r>
        <w:rPr>
          <w:rFonts w:ascii="Marianne" w:hAnsi="Marianne"/>
          <w:spacing w:val="0"/>
          <w:sz w:val="22"/>
        </w:rPr>
        <w:t>e Gaz</w:t>
      </w:r>
      <w:bookmarkEnd w:id="7"/>
      <w:bookmarkEnd w:id="8"/>
      <w:bookmarkEnd w:id="9"/>
    </w:p>
    <w:p>
      <w:pPr>
        <w:pStyle w:val="BlockText"/>
        <w:rPr/>
      </w:pPr>
      <w:r>
        <w:rPr/>
      </w:r>
    </w:p>
    <w:tbl>
      <w:tblPr>
        <w:tblW w:w="9150" w:type="dxa"/>
        <w:jc w:val="left"/>
        <w:tblInd w:w="1063" w:type="dxa"/>
        <w:tblLayout w:type="fixed"/>
        <w:tblCellMar>
          <w:top w:w="0" w:type="dxa"/>
          <w:left w:w="70" w:type="dxa"/>
          <w:bottom w:w="0" w:type="dxa"/>
          <w:right w:w="70" w:type="dxa"/>
        </w:tblCellMar>
        <w:tblLook w:firstRow="0" w:noVBand="0" w:lastRow="0" w:firstColumn="0" w:lastColumn="0" w:noHBand="0" w:val="0000"/>
      </w:tblPr>
      <w:tblGrid>
        <w:gridCol w:w="4815"/>
        <w:gridCol w:w="1562"/>
        <w:gridCol w:w="1354"/>
        <w:gridCol w:w="1418"/>
      </w:tblGrid>
      <w:tr>
        <w:trPr>
          <w:trHeight w:val="410" w:hRule="atLeast"/>
        </w:trPr>
        <w:tc>
          <w:tcPr>
            <w:tcW w:w="4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Marianne" w:hAnsi="Marianne" w:cs="Arial"/>
              </w:rPr>
            </w:pPr>
            <w:r>
              <w:rPr>
                <w:rFonts w:cs="Arial" w:ascii="Marianne" w:hAnsi="Marianne"/>
              </w:rPr>
              <w:t> </w:t>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déc-23</w:t>
            </w:r>
          </w:p>
        </w:tc>
        <w:tc>
          <w:tcPr>
            <w:tcW w:w="135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janv-24</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Evolution</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Moyenne des cotations (Butane $/TM) *</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558,0000</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558,0000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0,00%</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Moyenne des cotations (Propane $/TM) *</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61,0000</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61,0000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0,00%</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Fret ($/TM)</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166,0000</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166,0000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0,00%</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Surestaries gaz 2020 pour 2022 ($/TM)</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1,6500</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1,6500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0,00%</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Prix CAF ($/TM)</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786,6500</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786,6500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0,00%</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Cours moyen du dollar**</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1,0749</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1,0860</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1,03%</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Prix CAF (€/TM)</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731,8355</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724,3554</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-1,02%</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Droits de douanes (0,7 % du CAF en €)</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5,1228</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5,0705</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-1,02%</w:t>
            </w:r>
          </w:p>
        </w:tc>
      </w:tr>
      <w:tr>
        <w:trPr>
          <w:trHeight w:val="410" w:hRule="atLeast"/>
        </w:trPr>
        <w:tc>
          <w:tcPr>
            <w:tcW w:w="4815" w:type="dxa"/>
            <w:tcBorders>
              <w:left w:val="single" w:sz="4" w:space="0" w:color="000000"/>
              <w:bottom w:val="single" w:sz="4" w:space="0" w:color="000000"/>
              <w:right w:val="single" w:sz="4" w:space="0" w:color="000000"/>
            </w:tcBorders>
            <w:vAlign w:val="center"/>
          </w:tcPr>
          <w:p>
            <w:pPr>
              <w:pStyle w:val="Normal"/>
              <w:widowControl w:val="false"/>
              <w:ind w:firstLine="200"/>
              <w:jc w:val="left"/>
              <w:rPr>
                <w:rFonts w:ascii="Marianne" w:hAnsi="Marianne" w:cs="Arial"/>
              </w:rPr>
            </w:pPr>
            <w:r>
              <w:rPr>
                <w:rFonts w:cs="Arial" w:ascii="Marianne" w:hAnsi="Marianne"/>
              </w:rPr>
              <w:t>Prix CAF + Droits de Douanes (en €)</w:t>
            </w:r>
          </w:p>
        </w:tc>
        <w:tc>
          <w:tcPr>
            <w:tcW w:w="156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736,9583</w:t>
            </w:r>
          </w:p>
        </w:tc>
        <w:tc>
          <w:tcPr>
            <w:tcW w:w="1354" w:type="dxa"/>
            <w:tcBorders>
              <w:bottom w:val="single" w:sz="4" w:space="0" w:color="000000"/>
              <w:right w:val="single" w:sz="4" w:space="0" w:color="000000"/>
            </w:tcBorders>
            <w:shd w:color="auto" w:fill="auto" w:val="clear"/>
            <w:vAlign w:val="center"/>
          </w:tcPr>
          <w:p>
            <w:pPr>
              <w:pStyle w:val="Normal"/>
              <w:widowControl w:val="false"/>
              <w:ind w:right="9" w:firstLine="200"/>
              <w:jc w:val="right"/>
              <w:rPr>
                <w:rFonts w:ascii="Marianne" w:hAnsi="Marianne" w:cs="Arial"/>
              </w:rPr>
            </w:pPr>
            <w:r>
              <w:rPr>
                <w:rFonts w:cs="Arial" w:ascii="Marianne" w:hAnsi="Marianne"/>
              </w:rPr>
              <w:t>729,4259</w:t>
            </w:r>
          </w:p>
        </w:tc>
        <w:tc>
          <w:tcPr>
            <w:tcW w:w="1418" w:type="dxa"/>
            <w:tcBorders>
              <w:bottom w:val="single" w:sz="4" w:space="0" w:color="000000"/>
              <w:right w:val="single" w:sz="4" w:space="0" w:color="000000"/>
            </w:tcBorders>
            <w:shd w:color="auto" w:fill="auto" w:val="clear"/>
            <w:vAlign w:val="center"/>
          </w:tcPr>
          <w:p>
            <w:pPr>
              <w:pStyle w:val="Normal"/>
              <w:widowControl w:val="false"/>
              <w:ind w:right="9" w:hanging="0"/>
              <w:jc w:val="center"/>
              <w:rPr>
                <w:rFonts w:ascii="Marianne" w:hAnsi="Marianne" w:cs="Arial"/>
              </w:rPr>
            </w:pPr>
            <w:r>
              <w:rPr>
                <w:rFonts w:cs="Arial" w:ascii="Marianne" w:hAnsi="Marianne"/>
              </w:rPr>
              <w:t>-1,02%</w:t>
            </w:r>
          </w:p>
        </w:tc>
      </w:tr>
      <w:tr>
        <w:trPr>
          <w:trHeight w:val="410" w:hRule="atLeast"/>
        </w:trPr>
        <w:tc>
          <w:tcPr>
            <w:tcW w:w="4815" w:type="dxa"/>
            <w:tcBorders>
              <w:left w:val="single" w:sz="4" w:space="0" w:color="000000"/>
              <w:bottom w:val="single" w:sz="4" w:space="0" w:color="000000"/>
              <w:right w:val="single" w:sz="4" w:space="0" w:color="000000"/>
            </w:tcBorders>
            <w:shd w:color="auto" w:fill="F2DCDB" w:val="clear"/>
            <w:vAlign w:val="center"/>
          </w:tcPr>
          <w:p>
            <w:pPr>
              <w:pStyle w:val="Normal"/>
              <w:widowControl w:val="false"/>
              <w:ind w:firstLine="200"/>
              <w:jc w:val="left"/>
              <w:rPr>
                <w:rFonts w:ascii="Marianne" w:hAnsi="Marianne" w:cs="Arial"/>
              </w:rPr>
            </w:pPr>
            <w:r>
              <w:rPr>
                <w:rFonts w:cs="Arial" w:ascii="Marianne" w:hAnsi="Marianne"/>
              </w:rPr>
              <w:t>Prix CAF (€/bouteille)</w:t>
            </w:r>
          </w:p>
        </w:tc>
        <w:tc>
          <w:tcPr>
            <w:tcW w:w="1562" w:type="dxa"/>
            <w:tcBorders>
              <w:left w:val="single" w:sz="4" w:space="0" w:color="000000"/>
              <w:bottom w:val="single" w:sz="4" w:space="0" w:color="000000"/>
              <w:right w:val="single" w:sz="4" w:space="0" w:color="000000"/>
            </w:tcBorders>
            <w:shd w:color="000000" w:fill="F2DCDB" w:val="clear"/>
            <w:vAlign w:val="center"/>
          </w:tcPr>
          <w:p>
            <w:pPr>
              <w:pStyle w:val="Normal"/>
              <w:widowControl w:val="false"/>
              <w:ind w:right="9" w:firstLine="201"/>
              <w:jc w:val="right"/>
              <w:rPr>
                <w:rFonts w:ascii="Marianne" w:hAnsi="Marianne" w:cs="Arial"/>
                <w:b/>
                <w:bCs/>
              </w:rPr>
            </w:pPr>
            <w:r>
              <w:rPr>
                <w:rFonts w:cs="Arial" w:ascii="Marianne" w:hAnsi="Marianne"/>
                <w:b/>
                <w:bCs/>
              </w:rPr>
              <w:t>9,2120</w:t>
            </w:r>
          </w:p>
        </w:tc>
        <w:tc>
          <w:tcPr>
            <w:tcW w:w="1354" w:type="dxa"/>
            <w:tcBorders>
              <w:bottom w:val="single" w:sz="4" w:space="0" w:color="000000"/>
              <w:right w:val="single" w:sz="4" w:space="0" w:color="000000"/>
            </w:tcBorders>
            <w:shd w:color="000000" w:fill="F2DCDB" w:val="clear"/>
            <w:vAlign w:val="center"/>
          </w:tcPr>
          <w:p>
            <w:pPr>
              <w:pStyle w:val="Normal"/>
              <w:widowControl w:val="false"/>
              <w:ind w:right="9" w:firstLine="201"/>
              <w:jc w:val="right"/>
              <w:rPr>
                <w:rFonts w:ascii="Marianne" w:hAnsi="Marianne" w:cs="Arial"/>
                <w:b/>
                <w:bCs/>
              </w:rPr>
            </w:pPr>
            <w:r>
              <w:rPr>
                <w:rFonts w:cs="Arial" w:ascii="Marianne" w:hAnsi="Marianne"/>
                <w:b/>
                <w:bCs/>
              </w:rPr>
              <w:t>9,1178</w:t>
            </w:r>
          </w:p>
        </w:tc>
        <w:tc>
          <w:tcPr>
            <w:tcW w:w="1418" w:type="dxa"/>
            <w:tcBorders>
              <w:bottom w:val="single" w:sz="4" w:space="0" w:color="000000"/>
              <w:right w:val="single" w:sz="4" w:space="0" w:color="000000"/>
            </w:tcBorders>
            <w:shd w:color="000000" w:fill="F2DCDB" w:val="clear"/>
            <w:vAlign w:val="center"/>
          </w:tcPr>
          <w:p>
            <w:pPr>
              <w:pStyle w:val="Normal"/>
              <w:widowControl w:val="false"/>
              <w:ind w:right="9" w:hanging="0"/>
              <w:jc w:val="center"/>
              <w:rPr>
                <w:rFonts w:ascii="Marianne" w:hAnsi="Marianne" w:cs="Arial"/>
                <w:b/>
                <w:bCs/>
              </w:rPr>
            </w:pPr>
            <w:r>
              <w:rPr>
                <w:rFonts w:cs="Arial" w:ascii="Marianne" w:hAnsi="Marianne"/>
                <w:b/>
                <w:bCs/>
              </w:rPr>
              <w:t>-1,02%</w:t>
            </w:r>
          </w:p>
        </w:tc>
      </w:tr>
    </w:tbl>
    <w:p>
      <w:pPr>
        <w:pStyle w:val="BlockText"/>
        <w:ind w:left="1134" w:right="0" w:hanging="0"/>
        <w:rPr/>
      </w:pPr>
      <w:r>
        <w:rPr>
          <w:rFonts w:cs="Arial" w:ascii="Marianne" w:hAnsi="Marianne"/>
          <w:i/>
          <w:sz w:val="16"/>
          <w:szCs w:val="16"/>
        </w:rPr>
        <w:t>*</w:t>
      </w:r>
      <w:r>
        <w:rPr>
          <w:rFonts w:cs="Courier New" w:ascii="Marianne" w:hAnsi="Marianne"/>
          <w:i/>
          <w:sz w:val="16"/>
          <w:szCs w:val="16"/>
        </w:rPr>
        <w:t> L</w:t>
      </w:r>
      <w:r>
        <w:rPr>
          <w:rFonts w:cs="Arial" w:ascii="Marianne" w:hAnsi="Marianne"/>
          <w:i/>
          <w:sz w:val="16"/>
          <w:szCs w:val="16"/>
        </w:rPr>
        <w:t>es deux cotations ARAMCO sont mensuelles. Il s’agit du mois M-1</w:t>
      </w:r>
    </w:p>
    <w:p>
      <w:pPr>
        <w:pStyle w:val="Retraitdecorpsdetexte"/>
        <w:ind w:left="1134" w:right="1133" w:hanging="0"/>
        <w:rPr/>
      </w:pPr>
      <w:r>
        <w:rPr>
          <w:rFonts w:cs="Arial" w:ascii="Marianne" w:hAnsi="Marianne"/>
          <w:i/>
          <w:sz w:val="16"/>
          <w:szCs w:val="16"/>
        </w:rPr>
        <w:t>**</w:t>
      </w:r>
      <w:r>
        <w:rPr>
          <w:rFonts w:cs="Courier New" w:ascii="Marianne" w:hAnsi="Marianne"/>
          <w:i/>
          <w:sz w:val="16"/>
          <w:szCs w:val="16"/>
        </w:rPr>
        <w:t xml:space="preserve"> L</w:t>
      </w:r>
      <w:r>
        <w:rPr>
          <w:rFonts w:cs="Arial" w:ascii="Marianne" w:hAnsi="Marianne"/>
          <w:i/>
          <w:sz w:val="16"/>
          <w:szCs w:val="16"/>
        </w:rPr>
        <w:t>a moyenne des cours du dollar a été calculée sur la période du 1</w:t>
      </w:r>
      <w:r>
        <w:rPr>
          <w:rFonts w:cs="Arial" w:ascii="Marianne" w:hAnsi="Marianne"/>
          <w:i/>
          <w:sz w:val="16"/>
          <w:szCs w:val="16"/>
          <w:vertAlign w:val="superscript"/>
        </w:rPr>
        <w:t>er</w:t>
      </w:r>
      <w:r>
        <w:rPr>
          <w:rFonts w:cs="Arial" w:ascii="Marianne" w:hAnsi="Marianne"/>
          <w:i/>
          <w:sz w:val="16"/>
          <w:szCs w:val="16"/>
        </w:rPr>
        <w:t xml:space="preserve"> au 21 décembre 2023</w:t>
      </w:r>
    </w:p>
    <w:p>
      <w:pPr>
        <w:pStyle w:val="BlockText"/>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 xml:space="preserve">La structure prend en compte les cotations des deux produits importés dans leurs proportions respectives (90 % pour le butane et 10 % pour le propane). Ces cotations sont identiques au mois précédent. </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La structure intègre également les droits de douanes acquittés par les opérateurs. La base retenue est une somme équivalente à 0,7 % de la valeur CAF en euro.</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L’euro s’apprécie très légèrement par rapport au dollar (+ 1,03 %) influençant fortement le prix final du gaz à hauteur de - 9 cts environ.</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b/>
          <w:bCs/>
          <w:sz w:val="22"/>
          <w:szCs w:val="22"/>
        </w:rPr>
      </w:pPr>
      <w:r>
        <w:rPr>
          <w:rFonts w:cs="Arial" w:ascii="Marianne" w:hAnsi="Marianne"/>
          <w:sz w:val="22"/>
          <w:szCs w:val="22"/>
        </w:rPr>
        <w:t xml:space="preserve">Au final, </w:t>
      </w:r>
      <w:r>
        <w:rPr>
          <w:rFonts w:cs="Arial" w:ascii="Marianne" w:hAnsi="Marianne"/>
          <w:b/>
          <w:bCs/>
          <w:sz w:val="22"/>
          <w:szCs w:val="22"/>
        </w:rPr>
        <w:t>le prix CAF est en très légère baisse de – 1,02 </w:t>
      </w:r>
      <w:r>
        <w:rPr>
          <w:rFonts w:cs="Courier New" w:ascii="Marianne" w:hAnsi="Marianne"/>
          <w:b/>
          <w:bCs/>
          <w:sz w:val="22"/>
          <w:szCs w:val="22"/>
        </w:rPr>
        <w:t>%</w:t>
      </w:r>
      <w:r>
        <w:rPr>
          <w:rFonts w:cs="Arial" w:ascii="Marianne" w:hAnsi="Marianne"/>
          <w:b/>
          <w:bCs/>
          <w:sz w:val="22"/>
          <w:szCs w:val="22"/>
        </w:rPr>
        <w:t>.</w:t>
      </w:r>
    </w:p>
    <w:p>
      <w:pPr>
        <w:pStyle w:val="BlockText"/>
        <w:ind w:left="851" w:right="565" w:hanging="0"/>
        <w:rPr>
          <w:rFonts w:ascii="Marianne" w:hAnsi="Marianne" w:cs="Arial"/>
          <w:b/>
          <w:bCs/>
          <w:sz w:val="22"/>
          <w:szCs w:val="22"/>
        </w:rPr>
      </w:pPr>
      <w:r>
        <w:rPr>
          <w:rFonts w:cs="Arial" w:ascii="Marianne" w:hAnsi="Marianne"/>
          <w:b/>
          <w:bCs/>
          <w:sz w:val="22"/>
          <w:szCs w:val="22"/>
        </w:rPr>
      </w:r>
    </w:p>
    <w:p>
      <w:pPr>
        <w:pStyle w:val="Titre2"/>
        <w:ind w:firstLine="708"/>
        <w:rPr>
          <w:rFonts w:ascii="Marianne" w:hAnsi="Marianne"/>
          <w:i w:val="false"/>
          <w:i w:val="false"/>
          <w:sz w:val="22"/>
        </w:rPr>
      </w:pPr>
      <w:r>
        <w:rPr>
          <w:rFonts w:ascii="Marianne" w:hAnsi="Marianne"/>
          <w:i w:val="false"/>
          <w:sz w:val="22"/>
        </w:rPr>
        <w:t xml:space="preserve">2. </w:t>
      </w:r>
      <w:bookmarkStart w:id="10" w:name="_Toc115096728"/>
      <w:r>
        <w:rPr>
          <w:rFonts w:ascii="Marianne" w:hAnsi="Marianne"/>
          <w:i w:val="false"/>
          <w:sz w:val="22"/>
        </w:rPr>
        <w:t>Les frais de déchargement</w:t>
      </w:r>
      <w:bookmarkEnd w:id="10"/>
    </w:p>
    <w:p>
      <w:pPr>
        <w:pStyle w:val="BlockText"/>
        <w:rPr/>
      </w:pPr>
      <w:r>
        <w:rPr/>
      </w:r>
    </w:p>
    <w:tbl>
      <w:tblPr>
        <w:tblW w:w="9006" w:type="dxa"/>
        <w:jc w:val="left"/>
        <w:tblInd w:w="1129" w:type="dxa"/>
        <w:tblLayout w:type="fixed"/>
        <w:tblCellMar>
          <w:top w:w="0" w:type="dxa"/>
          <w:left w:w="70" w:type="dxa"/>
          <w:bottom w:w="0" w:type="dxa"/>
          <w:right w:w="70" w:type="dxa"/>
        </w:tblCellMar>
        <w:tblLook w:firstRow="0" w:noVBand="0" w:lastRow="0" w:firstColumn="0" w:lastColumn="0" w:noHBand="0" w:val="0000"/>
      </w:tblPr>
      <w:tblGrid>
        <w:gridCol w:w="4948"/>
        <w:gridCol w:w="1312"/>
        <w:gridCol w:w="1426"/>
        <w:gridCol w:w="1319"/>
      </w:tblGrid>
      <w:tr>
        <w:trPr>
          <w:trHeight w:val="454" w:hRule="atLeast"/>
        </w:trPr>
        <w:tc>
          <w:tcPr>
            <w:tcW w:w="494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Courier New" w:ascii="Marianne" w:hAnsi="Marianne"/>
                <w:sz w:val="22"/>
                <w:szCs w:val="22"/>
              </w:rPr>
              <w:t> </w:t>
            </w:r>
          </w:p>
        </w:tc>
        <w:tc>
          <w:tcPr>
            <w:tcW w:w="131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SSP (€/hl)</w:t>
            </w:r>
          </w:p>
        </w:tc>
        <w:tc>
          <w:tcPr>
            <w:tcW w:w="142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Gazole(€/hl)</w:t>
            </w:r>
          </w:p>
        </w:tc>
        <w:tc>
          <w:tcPr>
            <w:tcW w:w="131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 (€/Tonne)</w:t>
            </w:r>
          </w:p>
        </w:tc>
      </w:tr>
      <w:tr>
        <w:trPr>
          <w:trHeight w:val="454" w:hRule="atLeast"/>
        </w:trPr>
        <w:tc>
          <w:tcPr>
            <w:tcW w:w="4948"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Prestation déchargement</w:t>
            </w:r>
          </w:p>
        </w:tc>
        <w:tc>
          <w:tcPr>
            <w:tcW w:w="1312"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0,1080</w:t>
            </w:r>
          </w:p>
        </w:tc>
        <w:tc>
          <w:tcPr>
            <w:tcW w:w="1426"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0,1208</w:t>
            </w:r>
          </w:p>
        </w:tc>
        <w:tc>
          <w:tcPr>
            <w:tcW w:w="13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5,7317</w:t>
            </w:r>
          </w:p>
        </w:tc>
      </w:tr>
      <w:tr>
        <w:trPr>
          <w:trHeight w:val="454" w:hRule="atLeast"/>
        </w:trPr>
        <w:tc>
          <w:tcPr>
            <w:tcW w:w="4948"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Prestation d'Entretien d'Ouvrages</w:t>
            </w:r>
          </w:p>
        </w:tc>
        <w:tc>
          <w:tcPr>
            <w:tcW w:w="1312"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0,0824</w:t>
            </w:r>
          </w:p>
        </w:tc>
        <w:tc>
          <w:tcPr>
            <w:tcW w:w="1426"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0,0894</w:t>
            </w:r>
          </w:p>
        </w:tc>
        <w:tc>
          <w:tcPr>
            <w:tcW w:w="13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r>
      <w:tr>
        <w:trPr>
          <w:trHeight w:val="454" w:hRule="atLeast"/>
        </w:trPr>
        <w:tc>
          <w:tcPr>
            <w:tcW w:w="4948"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Redevance sur les marchandises débarquées</w:t>
            </w:r>
          </w:p>
        </w:tc>
        <w:tc>
          <w:tcPr>
            <w:tcW w:w="1312"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2,1396</w:t>
            </w:r>
          </w:p>
        </w:tc>
        <w:tc>
          <w:tcPr>
            <w:tcW w:w="1426"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1,0232</w:t>
            </w:r>
          </w:p>
        </w:tc>
        <w:tc>
          <w:tcPr>
            <w:tcW w:w="13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4,7378</w:t>
            </w:r>
          </w:p>
        </w:tc>
      </w:tr>
      <w:tr>
        <w:trPr>
          <w:trHeight w:val="454" w:hRule="atLeast"/>
        </w:trPr>
        <w:tc>
          <w:tcPr>
            <w:tcW w:w="4948" w:type="dxa"/>
            <w:tcBorders>
              <w:left w:val="single" w:sz="4" w:space="0" w:color="000000"/>
              <w:bottom w:val="single" w:sz="4" w:space="0" w:color="000000"/>
              <w:right w:val="single" w:sz="4" w:space="0" w:color="000000"/>
            </w:tcBorders>
            <w:shd w:color="auto" w:fill="F2DBDB" w:val="clear"/>
            <w:vAlign w:val="center"/>
          </w:tcPr>
          <w:p>
            <w:pPr>
              <w:pStyle w:val="Normal"/>
              <w:widowControl w:val="false"/>
              <w:rPr>
                <w:rFonts w:ascii="Marianne" w:hAnsi="Marianne" w:cs="Arial"/>
              </w:rPr>
            </w:pPr>
            <w:r>
              <w:rPr>
                <w:rFonts w:cs="Arial" w:ascii="Marianne" w:hAnsi="Marianne"/>
              </w:rPr>
              <w:t>Total frais GPMDLR</w:t>
            </w:r>
          </w:p>
        </w:tc>
        <w:tc>
          <w:tcPr>
            <w:tcW w:w="1312"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2,3300</w:t>
            </w:r>
          </w:p>
        </w:tc>
        <w:tc>
          <w:tcPr>
            <w:tcW w:w="1426"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1,2334</w:t>
            </w:r>
          </w:p>
        </w:tc>
        <w:tc>
          <w:tcPr>
            <w:tcW w:w="1319"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10,4695</w:t>
            </w:r>
          </w:p>
        </w:tc>
      </w:tr>
    </w:tbl>
    <w:p>
      <w:pPr>
        <w:pStyle w:val="BlockText"/>
        <w:rPr/>
      </w:pPr>
      <w:r>
        <w:rPr/>
      </w:r>
    </w:p>
    <w:p>
      <w:pPr>
        <w:pStyle w:val="BlockText"/>
        <w:ind w:left="851" w:right="565" w:hanging="0"/>
        <w:rPr/>
      </w:pPr>
      <w:r>
        <w:rPr>
          <w:rFonts w:ascii="Marianne" w:hAnsi="Marianne"/>
          <w:sz w:val="22"/>
          <w:szCs w:val="22"/>
        </w:rPr>
        <w:t xml:space="preserve">Les frais correspondant à la prestation de déchargement sont fixés contractuellement entre la SRPP et le </w:t>
      </w:r>
      <w:r>
        <w:rPr>
          <w:rFonts w:cs="Arial" w:ascii="Marianne" w:hAnsi="Marianne"/>
          <w:sz w:val="22"/>
          <w:szCs w:val="22"/>
        </w:rPr>
        <w:t>Grand Port Maritime de La Réunion (GPMDLR). Un rattrapage de l’éventuelle réévaluation du montant pourra être effectué dès communication des éléments contractuels et financiers.</w:t>
      </w:r>
    </w:p>
    <w:p>
      <w:pPr>
        <w:pStyle w:val="BlockText"/>
        <w:ind w:left="851" w:right="565" w:hanging="0"/>
        <w:rPr/>
      </w:pPr>
      <w:r>
        <w:rPr/>
      </w:r>
    </w:p>
    <w:p>
      <w:pPr>
        <w:pStyle w:val="BlockText"/>
        <w:ind w:left="851" w:right="565" w:hanging="0"/>
        <w:rPr/>
      </w:pPr>
      <w:r>
        <w:rPr>
          <w:rFonts w:ascii="Marianne" w:hAnsi="Marianne"/>
          <w:sz w:val="22"/>
          <w:szCs w:val="22"/>
        </w:rPr>
        <w:t xml:space="preserve">Les prix de la redevance sur les marchandises débarquées résultent </w:t>
      </w:r>
      <w:r>
        <w:rPr>
          <w:rFonts w:cs="Arial" w:ascii="Marianne" w:hAnsi="Marianne"/>
          <w:sz w:val="22"/>
          <w:szCs w:val="22"/>
        </w:rPr>
        <w:t>des tarifs fixés par le GPMDLR à compter du 1</w:t>
      </w:r>
      <w:r>
        <w:rPr>
          <w:rFonts w:cs="Arial" w:ascii="Marianne" w:hAnsi="Marianne"/>
          <w:sz w:val="22"/>
          <w:szCs w:val="22"/>
          <w:vertAlign w:val="superscript"/>
        </w:rPr>
        <w:t>er</w:t>
      </w:r>
      <w:r>
        <w:rPr>
          <w:rFonts w:cs="Arial" w:ascii="Marianne" w:hAnsi="Marianne"/>
          <w:sz w:val="22"/>
          <w:szCs w:val="22"/>
        </w:rPr>
        <w:t xml:space="preserve"> janvier 2024 (Tarifs publiés sur le site du GPMDLR). Ils sont en hausse d’environ 2,5 % par rapport à 2023.</w:t>
      </w:r>
    </w:p>
    <w:p>
      <w:pPr>
        <w:pStyle w:val="BlockText"/>
        <w:ind w:left="851" w:right="565" w:hanging="0"/>
        <w:rPr>
          <w:rFonts w:ascii="Marianne" w:hAnsi="Marianne"/>
          <w:sz w:val="22"/>
          <w:szCs w:val="22"/>
        </w:rPr>
      </w:pPr>
      <w:r>
        <w:rPr>
          <w:rFonts w:ascii="Marianne" w:hAnsi="Marianne"/>
          <w:sz w:val="22"/>
          <w:szCs w:val="22"/>
        </w:rPr>
      </w:r>
    </w:p>
    <w:p>
      <w:pPr>
        <w:pStyle w:val="BlockText"/>
        <w:rPr>
          <w:rFonts w:ascii="Marianne" w:hAnsi="Marianne"/>
          <w:sz w:val="22"/>
          <w:szCs w:val="22"/>
        </w:rPr>
      </w:pPr>
      <w:r>
        <w:rPr>
          <w:rFonts w:ascii="Marianne" w:hAnsi="Marianne"/>
          <w:sz w:val="22"/>
          <w:szCs w:val="22"/>
        </w:rPr>
        <w:t>Les frais relatifs à la prestation d’entretien d’ouvrage ne sont pas encore connus.</w:t>
      </w:r>
    </w:p>
    <w:p>
      <w:pPr>
        <w:pStyle w:val="BlockText"/>
        <w:rPr>
          <w:rFonts w:ascii="Marianne" w:hAnsi="Marianne" w:cs="Arial"/>
          <w:sz w:val="22"/>
          <w:szCs w:val="22"/>
        </w:rPr>
      </w:pPr>
      <w:r>
        <w:rPr>
          <w:rFonts w:cs="Arial" w:ascii="Marianne" w:hAnsi="Marianne"/>
          <w:sz w:val="22"/>
          <w:szCs w:val="22"/>
        </w:rPr>
      </w:r>
    </w:p>
    <w:p>
      <w:pPr>
        <w:pStyle w:val="Titre2"/>
        <w:ind w:firstLine="708"/>
        <w:rPr>
          <w:rFonts w:ascii="Marianne" w:hAnsi="Marianne"/>
          <w:i w:val="false"/>
          <w:i w:val="false"/>
          <w:sz w:val="22"/>
        </w:rPr>
      </w:pPr>
      <w:r>
        <w:rPr>
          <w:rFonts w:ascii="Marianne" w:hAnsi="Marianne"/>
          <w:i w:val="false"/>
          <w:sz w:val="22"/>
        </w:rPr>
        <w:t xml:space="preserve">3. </w:t>
      </w:r>
      <w:bookmarkStart w:id="11" w:name="_Toc115096729"/>
      <w:r>
        <w:rPr>
          <w:rFonts w:ascii="Marianne" w:hAnsi="Marianne"/>
          <w:i w:val="false"/>
          <w:sz w:val="22"/>
        </w:rPr>
        <w:t>La fiscalité</w:t>
      </w:r>
      <w:bookmarkEnd w:id="11"/>
      <w:r>
        <w:rPr>
          <w:rFonts w:ascii="Marianne" w:hAnsi="Marianne"/>
          <w:i w:val="false"/>
          <w:sz w:val="22"/>
        </w:rPr>
        <w:t> </w:t>
      </w:r>
    </w:p>
    <w:p>
      <w:pPr>
        <w:pStyle w:val="Normal"/>
        <w:ind w:left="851" w:right="1132" w:hanging="0"/>
        <w:rPr>
          <w:rFonts w:ascii="Marianne" w:hAnsi="Marianne"/>
          <w:sz w:val="22"/>
          <w:szCs w:val="22"/>
        </w:rPr>
      </w:pPr>
      <w:r>
        <w:rPr>
          <w:rFonts w:ascii="Marianne" w:hAnsi="Marianne"/>
          <w:sz w:val="22"/>
          <w:szCs w:val="22"/>
        </w:rPr>
      </w:r>
    </w:p>
    <w:p>
      <w:pPr>
        <w:pStyle w:val="Normal"/>
        <w:ind w:left="851" w:right="565" w:hanging="0"/>
        <w:rPr>
          <w:rFonts w:ascii="Marianne" w:hAnsi="Marianne"/>
          <w:sz w:val="22"/>
          <w:szCs w:val="22"/>
        </w:rPr>
      </w:pPr>
      <w:r>
        <w:rPr>
          <w:rFonts w:ascii="Marianne" w:hAnsi="Marianne"/>
          <w:sz w:val="22"/>
          <w:szCs w:val="22"/>
        </w:rPr>
        <w:t>En application des différentes règlementations relatives aux produits pétroliers, seuls les carburants routiers sont soumis à fiscalité.</w:t>
      </w:r>
    </w:p>
    <w:p>
      <w:pPr>
        <w:pStyle w:val="Normal"/>
        <w:ind w:left="851" w:right="565" w:hanging="0"/>
        <w:rPr>
          <w:rFonts w:ascii="Marianne" w:hAnsi="Marianne"/>
          <w:sz w:val="22"/>
          <w:szCs w:val="22"/>
        </w:rPr>
      </w:pPr>
      <w:r>
        <w:rPr>
          <w:rFonts w:ascii="Marianne" w:hAnsi="Marianne"/>
          <w:sz w:val="22"/>
          <w:szCs w:val="22"/>
        </w:rPr>
        <w:t>Par conséquent, pour les carburants non routiers (SP Mer, GO Mer, GNR, pétrole lampant) les cotations et parité sont les seuls paramètres de variation du prix final. Ainsi, toute évolution de ces éléments est plus fortement perceptible pour l’acheteur final que pour les carburants routiers.</w:t>
      </w:r>
    </w:p>
    <w:p>
      <w:pPr>
        <w:pStyle w:val="Normal"/>
        <w:ind w:left="851" w:right="1132" w:hanging="0"/>
        <w:rPr/>
      </w:pPr>
      <w:r>
        <w:rPr/>
      </w:r>
    </w:p>
    <w:tbl>
      <w:tblPr>
        <w:tblW w:w="9518" w:type="dxa"/>
        <w:jc w:val="left"/>
        <w:tblInd w:w="972" w:type="dxa"/>
        <w:tblLayout w:type="fixed"/>
        <w:tblCellMar>
          <w:top w:w="0" w:type="dxa"/>
          <w:left w:w="70" w:type="dxa"/>
          <w:bottom w:w="0" w:type="dxa"/>
          <w:right w:w="70" w:type="dxa"/>
        </w:tblCellMar>
        <w:tblLook w:firstRow="0" w:noVBand="0" w:lastRow="0" w:firstColumn="0" w:lastColumn="0" w:noHBand="0" w:val="0000"/>
      </w:tblPr>
      <w:tblGrid>
        <w:gridCol w:w="4129"/>
        <w:gridCol w:w="1419"/>
        <w:gridCol w:w="1418"/>
        <w:gridCol w:w="1275"/>
        <w:gridCol w:w="1277"/>
      </w:tblGrid>
      <w:tr>
        <w:trPr>
          <w:trHeight w:val="397" w:hRule="atLeast"/>
        </w:trPr>
        <w:tc>
          <w:tcPr>
            <w:tcW w:w="4129" w:type="dxa"/>
            <w:tcBorders>
              <w:right w:val="single" w:sz="4" w:space="0" w:color="000000"/>
            </w:tcBorders>
            <w:vAlign w:val="center"/>
          </w:tcPr>
          <w:p>
            <w:pPr>
              <w:pStyle w:val="Normal"/>
              <w:widowControl w:val="false"/>
              <w:rPr>
                <w:rFonts w:ascii="Marianne" w:hAnsi="Marianne" w:cs="Arial"/>
              </w:rPr>
            </w:pPr>
            <w:r>
              <w:rPr>
                <w:rFonts w:cs="Arial" w:ascii="Marianne" w:hAnsi="Marianne"/>
              </w:rPr>
              <w:t> </w:t>
            </w:r>
          </w:p>
        </w:tc>
        <w:tc>
          <w:tcPr>
            <w:tcW w:w="28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Super Sans Plomb</w:t>
              <w:br/>
              <w:t>(€/hl)</w:t>
            </w:r>
          </w:p>
        </w:tc>
        <w:tc>
          <w:tcPr>
            <w:tcW w:w="255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sz w:val="22"/>
                <w:szCs w:val="22"/>
              </w:rPr>
            </w:pPr>
            <w:r>
              <w:rPr>
                <w:rFonts w:cs="Arial" w:ascii="Marianne" w:hAnsi="Marianne"/>
              </w:rPr>
              <w:t>Gazole</w:t>
              <w:br/>
              <w:t>(€/hl)</w:t>
            </w:r>
          </w:p>
        </w:tc>
      </w:tr>
      <w:tr>
        <w:trPr>
          <w:trHeight w:val="397" w:hRule="atLeast"/>
        </w:trPr>
        <w:tc>
          <w:tcPr>
            <w:tcW w:w="4129" w:type="dxa"/>
            <w:tcBorders>
              <w:bottom w:val="single" w:sz="4" w:space="0" w:color="000000"/>
              <w:right w:val="single" w:sz="4" w:space="0" w:color="000000"/>
            </w:tcBorders>
            <w:vAlign w:val="center"/>
          </w:tcPr>
          <w:p>
            <w:pPr>
              <w:pStyle w:val="Normal"/>
              <w:widowControl w:val="false"/>
              <w:rPr>
                <w:rFonts w:ascii="Marianne" w:hAnsi="Marianne" w:cs="Arial"/>
              </w:rPr>
            </w:pPr>
            <w:r>
              <w:rPr>
                <w:rFonts w:cs="Arial" w:ascii="Marianne" w:hAnsi="Marianne"/>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déc-23</w:t>
            </w:r>
          </w:p>
        </w:tc>
        <w:tc>
          <w:tcPr>
            <w:tcW w:w="14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false"/>
              <w:jc w:val="center"/>
              <w:rPr>
                <w:rFonts w:ascii="Marianne" w:hAnsi="Marianne" w:cs="Arial"/>
              </w:rPr>
            </w:pPr>
            <w:r>
              <w:rPr>
                <w:rFonts w:cs="Arial" w:ascii="Marianne" w:hAnsi="Marianne"/>
              </w:rPr>
              <w:t>janv-24</w:t>
            </w:r>
          </w:p>
        </w:tc>
        <w:tc>
          <w:tcPr>
            <w:tcW w:w="127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déc-23</w:t>
            </w:r>
          </w:p>
        </w:tc>
        <w:tc>
          <w:tcPr>
            <w:tcW w:w="1277" w:type="dxa"/>
            <w:tcBorders>
              <w:top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jc w:val="center"/>
              <w:rPr>
                <w:rFonts w:ascii="Marianne" w:hAnsi="Marianne" w:cs="Arial"/>
              </w:rPr>
            </w:pPr>
            <w:r>
              <w:rPr>
                <w:rFonts w:cs="Arial" w:ascii="Marianne" w:hAnsi="Marianne"/>
              </w:rPr>
              <w:t>janv-24</w:t>
            </w:r>
          </w:p>
        </w:tc>
      </w:tr>
      <w:tr>
        <w:trPr>
          <w:trHeight w:val="454" w:hRule="atLeast"/>
        </w:trPr>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Octroi de mer externe</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14,2781</w:t>
            </w:r>
          </w:p>
        </w:tc>
        <w:tc>
          <w:tcPr>
            <w:tcW w:w="141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13,3958</w:t>
            </w:r>
          </w:p>
        </w:tc>
        <w:tc>
          <w:tcPr>
            <w:tcW w:w="1275"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3,3621</w:t>
            </w:r>
          </w:p>
        </w:tc>
        <w:tc>
          <w:tcPr>
            <w:tcW w:w="1277"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3,1603</w:t>
            </w:r>
          </w:p>
        </w:tc>
      </w:tr>
      <w:tr>
        <w:trPr>
          <w:trHeight w:val="454" w:hRule="atLeast"/>
        </w:trPr>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Taxe Spéciale de Consommation (TSC)</w:t>
            </w:r>
          </w:p>
        </w:tc>
        <w:tc>
          <w:tcPr>
            <w:tcW w:w="14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58,24</w:t>
            </w:r>
          </w:p>
        </w:tc>
        <w:tc>
          <w:tcPr>
            <w:tcW w:w="141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58,24</w:t>
            </w:r>
          </w:p>
        </w:tc>
        <w:tc>
          <w:tcPr>
            <w:tcW w:w="1275"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36,13</w:t>
            </w:r>
          </w:p>
        </w:tc>
        <w:tc>
          <w:tcPr>
            <w:tcW w:w="1277"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36,13</w:t>
            </w:r>
          </w:p>
        </w:tc>
      </w:tr>
      <w:tr>
        <w:trPr>
          <w:trHeight w:val="454" w:hRule="atLeast"/>
        </w:trPr>
        <w:tc>
          <w:tcPr>
            <w:tcW w:w="4129"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Tarif Extérieur Commun (droits TEC)</w:t>
            </w:r>
          </w:p>
        </w:tc>
        <w:tc>
          <w:tcPr>
            <w:tcW w:w="14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2,9825</w:t>
            </w:r>
          </w:p>
        </w:tc>
        <w:tc>
          <w:tcPr>
            <w:tcW w:w="141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2,7982</w:t>
            </w:r>
          </w:p>
        </w:tc>
        <w:tc>
          <w:tcPr>
            <w:tcW w:w="1275"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w:t>
            </w:r>
          </w:p>
        </w:tc>
        <w:tc>
          <w:tcPr>
            <w:tcW w:w="1277"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w:t>
            </w:r>
          </w:p>
        </w:tc>
      </w:tr>
      <w:tr>
        <w:trPr>
          <w:trHeight w:val="454" w:hRule="atLeast"/>
        </w:trPr>
        <w:tc>
          <w:tcPr>
            <w:tcW w:w="4129"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Certificat d'économie d'énergie</w:t>
            </w:r>
          </w:p>
        </w:tc>
        <w:tc>
          <w:tcPr>
            <w:tcW w:w="141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6,8810</w:t>
            </w:r>
          </w:p>
        </w:tc>
        <w:tc>
          <w:tcPr>
            <w:tcW w:w="141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6,8390</w:t>
            </w:r>
          </w:p>
        </w:tc>
        <w:tc>
          <w:tcPr>
            <w:tcW w:w="1275"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6,8810</w:t>
            </w:r>
          </w:p>
        </w:tc>
        <w:tc>
          <w:tcPr>
            <w:tcW w:w="1277"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6,8390</w:t>
            </w:r>
          </w:p>
        </w:tc>
      </w:tr>
      <w:tr>
        <w:trPr>
          <w:trHeight w:val="454" w:hRule="atLeast"/>
        </w:trPr>
        <w:tc>
          <w:tcPr>
            <w:tcW w:w="4129" w:type="dxa"/>
            <w:tcBorders>
              <w:left w:val="single" w:sz="4" w:space="0" w:color="000000"/>
              <w:bottom w:val="single" w:sz="4" w:space="0" w:color="000000"/>
              <w:right w:val="single" w:sz="4" w:space="0" w:color="000000"/>
            </w:tcBorders>
            <w:shd w:color="auto" w:fill="F2DCDB" w:val="clear"/>
            <w:vAlign w:val="center"/>
          </w:tcPr>
          <w:p>
            <w:pPr>
              <w:pStyle w:val="Normal"/>
              <w:widowControl w:val="false"/>
              <w:rPr>
                <w:rFonts w:ascii="Marianne" w:hAnsi="Marianne" w:cs="Arial"/>
              </w:rPr>
            </w:pPr>
            <w:r>
              <w:rPr>
                <w:rFonts w:cs="Arial" w:ascii="Marianne" w:hAnsi="Marianne"/>
              </w:rPr>
              <w:t>Total fiscalité</w:t>
            </w:r>
          </w:p>
        </w:tc>
        <w:tc>
          <w:tcPr>
            <w:tcW w:w="1419"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82,3816</w:t>
            </w:r>
          </w:p>
        </w:tc>
        <w:tc>
          <w:tcPr>
            <w:tcW w:w="1418"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81,2730</w:t>
            </w:r>
          </w:p>
        </w:tc>
        <w:tc>
          <w:tcPr>
            <w:tcW w:w="1275"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46,3731</w:t>
            </w:r>
          </w:p>
        </w:tc>
        <w:tc>
          <w:tcPr>
            <w:tcW w:w="1277" w:type="dxa"/>
            <w:tcBorders>
              <w:bottom w:val="single" w:sz="4" w:space="0" w:color="000000"/>
              <w:right w:val="single" w:sz="4" w:space="0" w:color="000000"/>
            </w:tcBorders>
            <w:shd w:color="000000" w:fill="F2DCDB" w:val="clear"/>
            <w:vAlign w:val="center"/>
          </w:tcPr>
          <w:p>
            <w:pPr>
              <w:pStyle w:val="Normal"/>
              <w:widowControl w:val="false"/>
              <w:jc w:val="center"/>
              <w:rPr>
                <w:rFonts w:ascii="Marianne" w:hAnsi="Marianne" w:cs="Arial"/>
                <w:b/>
                <w:bCs/>
              </w:rPr>
            </w:pPr>
            <w:r>
              <w:rPr>
                <w:rFonts w:cs="Arial" w:ascii="Marianne" w:hAnsi="Marianne"/>
                <w:b/>
                <w:bCs/>
              </w:rPr>
              <w:t>46,1293</w:t>
            </w:r>
          </w:p>
        </w:tc>
      </w:tr>
      <w:tr>
        <w:trPr>
          <w:trHeight w:val="454" w:hRule="atLeast"/>
        </w:trPr>
        <w:tc>
          <w:tcPr>
            <w:tcW w:w="4129" w:type="dxa"/>
            <w:tcBorders/>
            <w:vAlign w:val="bottom"/>
          </w:tcPr>
          <w:p>
            <w:pPr>
              <w:pStyle w:val="Normal"/>
              <w:widowControl w:val="false"/>
              <w:jc w:val="left"/>
              <w:rPr>
                <w:rFonts w:ascii="Marianne" w:hAnsi="Marianne" w:cs="Arial"/>
              </w:rPr>
            </w:pPr>
            <w:r>
              <w:rPr>
                <w:rFonts w:cs="Arial" w:ascii="Marianne" w:hAnsi="Marianne"/>
              </w:rPr>
            </w:r>
          </w:p>
        </w:tc>
        <w:tc>
          <w:tcPr>
            <w:tcW w:w="1419" w:type="dxa"/>
            <w:tcBorders/>
            <w:shd w:color="auto" w:fill="auto" w:val="clear"/>
            <w:vAlign w:val="bottom"/>
          </w:tcPr>
          <w:p>
            <w:pPr>
              <w:pStyle w:val="Normal"/>
              <w:widowControl w:val="false"/>
              <w:jc w:val="center"/>
              <w:rPr>
                <w:rFonts w:ascii="Marianne" w:hAnsi="Marianne" w:cs="Arial"/>
                <w:b/>
                <w:bCs/>
              </w:rPr>
            </w:pPr>
            <w:r>
              <w:rPr>
                <w:rFonts w:cs="Arial" w:ascii="Marianne" w:hAnsi="Marianne"/>
                <w:b/>
                <w:bCs/>
              </w:rPr>
            </w:r>
          </w:p>
        </w:tc>
        <w:tc>
          <w:tcPr>
            <w:tcW w:w="1418"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Marianne" w:hAnsi="Marianne" w:cs="Arial"/>
              </w:rPr>
            </w:pPr>
            <w:r>
              <w:rPr>
                <w:rFonts w:cs="Arial" w:ascii="Marianne" w:hAnsi="Marianne"/>
              </w:rPr>
              <w:t>-1,35%</w:t>
            </w:r>
          </w:p>
        </w:tc>
        <w:tc>
          <w:tcPr>
            <w:tcW w:w="1275" w:type="dxa"/>
            <w:tcBorders/>
            <w:shd w:color="000000" w:fill="FFFFFF" w:val="clear"/>
            <w:vAlign w:val="center"/>
          </w:tcPr>
          <w:p>
            <w:pPr>
              <w:pStyle w:val="Normal"/>
              <w:widowControl w:val="false"/>
              <w:jc w:val="center"/>
              <w:rPr>
                <w:rFonts w:ascii="Marianne" w:hAnsi="Marianne" w:cs="Arial"/>
              </w:rPr>
            </w:pPr>
            <w:r>
              <w:rPr>
                <w:rFonts w:cs="Arial" w:ascii="Marianne" w:hAnsi="Marianne"/>
              </w:rPr>
              <w:t> </w:t>
            </w:r>
          </w:p>
        </w:tc>
        <w:tc>
          <w:tcPr>
            <w:tcW w:w="127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Marianne" w:hAnsi="Marianne" w:cs="Arial"/>
              </w:rPr>
            </w:pPr>
            <w:r>
              <w:rPr>
                <w:rFonts w:cs="Arial" w:ascii="Marianne" w:hAnsi="Marianne"/>
              </w:rPr>
              <w:t>-0,53%</w:t>
            </w:r>
          </w:p>
        </w:tc>
      </w:tr>
    </w:tbl>
    <w:p>
      <w:pPr>
        <w:pStyle w:val="Normal"/>
        <w:ind w:left="851" w:right="1132" w:hanging="0"/>
        <w:rPr/>
      </w:pPr>
      <w:r>
        <w:rPr/>
      </w:r>
    </w:p>
    <w:p>
      <w:pPr>
        <w:pStyle w:val="Normal"/>
        <w:ind w:left="851" w:right="1132" w:hanging="0"/>
        <w:rPr>
          <w:rFonts w:ascii="Marianne" w:hAnsi="Marianne"/>
          <w:sz w:val="22"/>
          <w:szCs w:val="22"/>
        </w:rPr>
      </w:pPr>
      <w:r>
        <w:rPr>
          <w:rFonts w:ascii="Marianne" w:hAnsi="Marianne"/>
          <w:sz w:val="22"/>
          <w:szCs w:val="22"/>
        </w:rPr>
      </w:r>
    </w:p>
    <w:p>
      <w:pPr>
        <w:pStyle w:val="Titre3"/>
        <w:ind w:left="708" w:firstLine="708"/>
        <w:rPr>
          <w:rFonts w:ascii="Marianne" w:hAnsi="Marianne"/>
          <w:spacing w:val="0"/>
          <w:sz w:val="22"/>
          <w:szCs w:val="22"/>
        </w:rPr>
      </w:pPr>
      <w:r>
        <w:rPr>
          <w:rFonts w:ascii="Marianne" w:hAnsi="Marianne"/>
          <w:spacing w:val="0"/>
          <w:sz w:val="22"/>
          <w:szCs w:val="22"/>
        </w:rPr>
        <w:t xml:space="preserve">3.1 </w:t>
      </w:r>
      <w:bookmarkStart w:id="12" w:name="_Toc106367582"/>
      <w:bookmarkStart w:id="13" w:name="_Toc106367691"/>
      <w:bookmarkStart w:id="14" w:name="_Toc106611992"/>
      <w:r>
        <w:rPr>
          <w:rFonts w:ascii="Marianne" w:hAnsi="Marianne"/>
          <w:spacing w:val="0"/>
          <w:sz w:val="22"/>
          <w:szCs w:val="22"/>
        </w:rPr>
        <w:t>Octroi de mer</w:t>
      </w:r>
      <w:bookmarkEnd w:id="12"/>
      <w:bookmarkEnd w:id="13"/>
      <w:bookmarkEnd w:id="14"/>
    </w:p>
    <w:p>
      <w:pPr>
        <w:pStyle w:val="Normal"/>
        <w:ind w:left="1713" w:right="1132" w:hanging="0"/>
        <w:rPr>
          <w:rFonts w:ascii="Marianne" w:hAnsi="Marianne" w:cs="Arial"/>
          <w:bCs/>
          <w:sz w:val="22"/>
          <w:szCs w:val="22"/>
          <w:u w:val="single"/>
        </w:rPr>
      </w:pPr>
      <w:r>
        <w:rPr>
          <w:rFonts w:cs="Arial" w:ascii="Marianne" w:hAnsi="Marianne"/>
          <w:bCs/>
          <w:sz w:val="22"/>
          <w:szCs w:val="22"/>
          <w:u w:val="single"/>
        </w:rPr>
      </w:r>
    </w:p>
    <w:p>
      <w:pPr>
        <w:pStyle w:val="BlockText"/>
        <w:ind w:left="851" w:right="565" w:hanging="0"/>
        <w:rPr>
          <w:rFonts w:ascii="Marianne" w:hAnsi="Marianne" w:cs="Arial"/>
          <w:sz w:val="22"/>
          <w:szCs w:val="22"/>
        </w:rPr>
      </w:pPr>
      <w:r>
        <w:rPr>
          <w:rFonts w:cs="Arial" w:ascii="Marianne" w:hAnsi="Marianne"/>
          <w:sz w:val="22"/>
          <w:szCs w:val="22"/>
        </w:rPr>
        <w:t>Le taux global de l’octroi de mer est inchangé, il est de 22,5 % sur le sans-plomb et de 5 % pour le gazole.</w:t>
      </w:r>
    </w:p>
    <w:p>
      <w:pPr>
        <w:pStyle w:val="BlockText"/>
        <w:ind w:left="851" w:right="565" w:hanging="0"/>
        <w:rPr>
          <w:rFonts w:ascii="Marianne" w:hAnsi="Marianne" w:cs="Arial"/>
          <w:sz w:val="22"/>
          <w:szCs w:val="22"/>
        </w:rPr>
      </w:pPr>
      <w:r>
        <w:rPr>
          <w:rFonts w:cs="Arial" w:ascii="Marianne" w:hAnsi="Marianne"/>
          <w:sz w:val="22"/>
          <w:szCs w:val="22"/>
        </w:rPr>
        <w:t>La décomposition de ces taux est la suivante :</w:t>
      </w:r>
    </w:p>
    <w:p>
      <w:pPr>
        <w:pStyle w:val="BlockText"/>
        <w:rPr>
          <w:rFonts w:ascii="Marianne" w:hAnsi="Marianne" w:cs="Arial"/>
          <w:sz w:val="22"/>
          <w:szCs w:val="22"/>
        </w:rPr>
      </w:pPr>
      <w:r>
        <w:rPr>
          <w:rFonts w:cs="Arial" w:ascii="Marianne" w:hAnsi="Marianne"/>
          <w:sz w:val="22"/>
          <w:szCs w:val="22"/>
        </w:rPr>
      </w:r>
    </w:p>
    <w:tbl>
      <w:tblPr>
        <w:tblW w:w="6521" w:type="dxa"/>
        <w:jc w:val="left"/>
        <w:tblInd w:w="1809" w:type="dxa"/>
        <w:tblLayout w:type="fixed"/>
        <w:tblCellMar>
          <w:top w:w="0" w:type="dxa"/>
          <w:left w:w="108" w:type="dxa"/>
          <w:bottom w:w="0" w:type="dxa"/>
          <w:right w:w="108" w:type="dxa"/>
        </w:tblCellMar>
        <w:tblLook w:firstRow="0" w:noVBand="0" w:lastRow="0" w:firstColumn="0" w:lastColumn="0" w:noHBand="0" w:val="0000"/>
      </w:tblPr>
      <w:tblGrid>
        <w:gridCol w:w="1842"/>
        <w:gridCol w:w="2268"/>
        <w:gridCol w:w="2411"/>
      </w:tblGrid>
      <w:tr>
        <w:trPr/>
        <w:tc>
          <w:tcPr>
            <w:tcW w:w="1842" w:type="dxa"/>
            <w:tcBorders>
              <w:top w:val="single" w:sz="4" w:space="0" w:color="000000"/>
              <w:left w:val="single" w:sz="4" w:space="0" w:color="000000"/>
              <w:bottom w:val="single" w:sz="4" w:space="0" w:color="000000"/>
              <w:right w:val="single" w:sz="4" w:space="0" w:color="000000"/>
            </w:tcBorders>
          </w:tcPr>
          <w:p>
            <w:pPr>
              <w:pStyle w:val="BlockText"/>
              <w:widowControl w:val="false"/>
              <w:tabs>
                <w:tab w:val="clear" w:pos="709"/>
                <w:tab w:val="left" w:pos="1377" w:leader="none"/>
              </w:tabs>
              <w:ind w:left="0" w:right="0" w:hanging="0"/>
              <w:jc w:val="center"/>
              <w:rPr>
                <w:rFonts w:ascii="Marianne" w:hAnsi="Marianne" w:cs="Arial"/>
                <w:sz w:val="22"/>
                <w:szCs w:val="22"/>
              </w:rPr>
            </w:pPr>
            <w:r>
              <w:rPr>
                <w:rFonts w:cs="Arial" w:ascii="Marianne" w:hAnsi="Marianne"/>
                <w:sz w:val="22"/>
                <w:szCs w:val="22"/>
              </w:rPr>
            </w:r>
          </w:p>
        </w:tc>
        <w:tc>
          <w:tcPr>
            <w:tcW w:w="2268" w:type="dxa"/>
            <w:tcBorders>
              <w:top w:val="single" w:sz="4" w:space="0" w:color="000000"/>
              <w:left w:val="single" w:sz="4" w:space="0" w:color="000000"/>
              <w:bottom w:val="single" w:sz="4" w:space="0" w:color="000000"/>
              <w:right w:val="single" w:sz="4" w:space="0" w:color="000000"/>
            </w:tcBorders>
          </w:tcPr>
          <w:p>
            <w:pPr>
              <w:pStyle w:val="BlockText"/>
              <w:widowControl w:val="false"/>
              <w:tabs>
                <w:tab w:val="clear" w:pos="709"/>
                <w:tab w:val="left" w:pos="1593" w:leader="none"/>
                <w:tab w:val="left" w:pos="2477" w:leader="none"/>
              </w:tabs>
              <w:ind w:left="0" w:right="0" w:hanging="0"/>
              <w:jc w:val="center"/>
              <w:rPr>
                <w:rFonts w:ascii="Marianne" w:hAnsi="Marianne" w:cs="Arial"/>
                <w:sz w:val="22"/>
                <w:szCs w:val="22"/>
              </w:rPr>
            </w:pPr>
            <w:r>
              <w:rPr>
                <w:rFonts w:cs="Arial" w:ascii="Marianne" w:hAnsi="Marianne"/>
                <w:sz w:val="22"/>
                <w:szCs w:val="22"/>
              </w:rPr>
              <w:t>Part de la Région</w:t>
            </w:r>
          </w:p>
        </w:tc>
        <w:tc>
          <w:tcPr>
            <w:tcW w:w="2411" w:type="dxa"/>
            <w:tcBorders>
              <w:top w:val="single" w:sz="4" w:space="0" w:color="000000"/>
              <w:left w:val="single" w:sz="4" w:space="0" w:color="000000"/>
              <w:bottom w:val="single" w:sz="4" w:space="0" w:color="000000"/>
              <w:right w:val="single" w:sz="4" w:space="0" w:color="000000"/>
            </w:tcBorders>
          </w:tcPr>
          <w:p>
            <w:pPr>
              <w:pStyle w:val="BlockText"/>
              <w:widowControl w:val="false"/>
              <w:ind w:left="0" w:right="0" w:hanging="0"/>
              <w:jc w:val="center"/>
              <w:rPr>
                <w:rFonts w:ascii="Marianne" w:hAnsi="Marianne" w:cs="Arial"/>
                <w:sz w:val="22"/>
                <w:szCs w:val="22"/>
              </w:rPr>
            </w:pPr>
            <w:r>
              <w:rPr>
                <w:rFonts w:cs="Arial" w:ascii="Marianne" w:hAnsi="Marianne"/>
                <w:sz w:val="22"/>
                <w:szCs w:val="22"/>
              </w:rPr>
              <w:t>Part des communes</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BlockText"/>
              <w:widowControl w:val="false"/>
              <w:ind w:left="0" w:right="0" w:hanging="0"/>
              <w:jc w:val="left"/>
              <w:rPr>
                <w:rFonts w:ascii="Marianne" w:hAnsi="Marianne" w:cs="Arial"/>
                <w:sz w:val="22"/>
                <w:szCs w:val="22"/>
              </w:rPr>
            </w:pPr>
            <w:r>
              <w:rPr>
                <w:rFonts w:cs="Arial" w:ascii="Marianne" w:hAnsi="Marianne"/>
                <w:sz w:val="22"/>
                <w:szCs w:val="22"/>
              </w:rPr>
              <w:t>Gazole</w:t>
            </w:r>
          </w:p>
        </w:tc>
        <w:tc>
          <w:tcPr>
            <w:tcW w:w="2268" w:type="dxa"/>
            <w:tcBorders>
              <w:top w:val="single" w:sz="4" w:space="0" w:color="000000"/>
              <w:left w:val="single" w:sz="4" w:space="0" w:color="000000"/>
              <w:bottom w:val="single" w:sz="4" w:space="0" w:color="000000"/>
              <w:right w:val="single" w:sz="4" w:space="0" w:color="000000"/>
            </w:tcBorders>
          </w:tcPr>
          <w:p>
            <w:pPr>
              <w:pStyle w:val="BlockText"/>
              <w:widowControl w:val="false"/>
              <w:ind w:left="0" w:right="0" w:hanging="0"/>
              <w:jc w:val="center"/>
              <w:rPr>
                <w:rFonts w:ascii="Marianne" w:hAnsi="Marianne" w:cs="Arial"/>
                <w:sz w:val="22"/>
                <w:szCs w:val="22"/>
              </w:rPr>
            </w:pPr>
            <w:r>
              <w:rPr>
                <w:rFonts w:cs="Arial" w:ascii="Marianne" w:hAnsi="Marianne"/>
                <w:sz w:val="22"/>
                <w:szCs w:val="22"/>
              </w:rPr>
              <w:t>2,5 %</w:t>
            </w:r>
          </w:p>
        </w:tc>
        <w:tc>
          <w:tcPr>
            <w:tcW w:w="2411" w:type="dxa"/>
            <w:tcBorders>
              <w:top w:val="single" w:sz="4" w:space="0" w:color="000000"/>
              <w:left w:val="single" w:sz="4" w:space="0" w:color="000000"/>
              <w:bottom w:val="single" w:sz="4" w:space="0" w:color="000000"/>
              <w:right w:val="single" w:sz="4" w:space="0" w:color="000000"/>
            </w:tcBorders>
          </w:tcPr>
          <w:p>
            <w:pPr>
              <w:pStyle w:val="BlockText"/>
              <w:widowControl w:val="false"/>
              <w:tabs>
                <w:tab w:val="clear" w:pos="709"/>
                <w:tab w:val="left" w:pos="1310" w:leader="none"/>
              </w:tabs>
              <w:ind w:left="0" w:right="0" w:hanging="0"/>
              <w:jc w:val="center"/>
              <w:rPr>
                <w:rFonts w:ascii="Marianne" w:hAnsi="Marianne" w:cs="Arial"/>
                <w:sz w:val="22"/>
                <w:szCs w:val="22"/>
              </w:rPr>
            </w:pPr>
            <w:r>
              <w:rPr>
                <w:rFonts w:cs="Arial" w:ascii="Marianne" w:hAnsi="Marianne"/>
                <w:sz w:val="22"/>
                <w:szCs w:val="22"/>
              </w:rPr>
              <w:t>2,5 %</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BlockText"/>
              <w:widowControl w:val="false"/>
              <w:tabs>
                <w:tab w:val="clear" w:pos="709"/>
                <w:tab w:val="left" w:pos="2473" w:leader="none"/>
              </w:tabs>
              <w:ind w:left="0" w:right="34" w:hanging="0"/>
              <w:jc w:val="left"/>
              <w:rPr>
                <w:rFonts w:ascii="Marianne" w:hAnsi="Marianne" w:cs="Arial"/>
                <w:sz w:val="22"/>
                <w:szCs w:val="22"/>
              </w:rPr>
            </w:pPr>
            <w:r>
              <w:rPr>
                <w:rFonts w:cs="Arial" w:ascii="Marianne" w:hAnsi="Marianne"/>
                <w:sz w:val="22"/>
                <w:szCs w:val="22"/>
              </w:rPr>
              <w:t>Sans-plomb</w:t>
            </w:r>
          </w:p>
        </w:tc>
        <w:tc>
          <w:tcPr>
            <w:tcW w:w="2268" w:type="dxa"/>
            <w:tcBorders>
              <w:top w:val="single" w:sz="4" w:space="0" w:color="000000"/>
              <w:left w:val="single" w:sz="4" w:space="0" w:color="000000"/>
              <w:bottom w:val="single" w:sz="4" w:space="0" w:color="000000"/>
              <w:right w:val="single" w:sz="4" w:space="0" w:color="000000"/>
            </w:tcBorders>
          </w:tcPr>
          <w:p>
            <w:pPr>
              <w:pStyle w:val="BlockText"/>
              <w:widowControl w:val="false"/>
              <w:tabs>
                <w:tab w:val="clear" w:pos="709"/>
                <w:tab w:val="left" w:pos="1168" w:leader="none"/>
              </w:tabs>
              <w:ind w:left="0" w:right="0" w:hanging="0"/>
              <w:jc w:val="center"/>
              <w:rPr>
                <w:rFonts w:ascii="Marianne" w:hAnsi="Marianne" w:cs="Arial"/>
                <w:sz w:val="22"/>
                <w:szCs w:val="22"/>
              </w:rPr>
            </w:pPr>
            <w:r>
              <w:rPr>
                <w:rFonts w:cs="Arial" w:ascii="Marianne" w:hAnsi="Marianne"/>
                <w:sz w:val="22"/>
                <w:szCs w:val="22"/>
              </w:rPr>
              <w:t>2 %</w:t>
            </w:r>
          </w:p>
        </w:tc>
        <w:tc>
          <w:tcPr>
            <w:tcW w:w="2411" w:type="dxa"/>
            <w:tcBorders>
              <w:top w:val="single" w:sz="4" w:space="0" w:color="000000"/>
              <w:left w:val="single" w:sz="4" w:space="0" w:color="000000"/>
              <w:bottom w:val="single" w:sz="4" w:space="0" w:color="000000"/>
              <w:right w:val="single" w:sz="4" w:space="0" w:color="000000"/>
            </w:tcBorders>
          </w:tcPr>
          <w:p>
            <w:pPr>
              <w:pStyle w:val="BlockText"/>
              <w:widowControl w:val="false"/>
              <w:ind w:left="0" w:right="0" w:hanging="0"/>
              <w:jc w:val="center"/>
              <w:rPr>
                <w:rFonts w:ascii="Marianne" w:hAnsi="Marianne" w:cs="Arial"/>
                <w:sz w:val="22"/>
                <w:szCs w:val="22"/>
              </w:rPr>
            </w:pPr>
            <w:r>
              <w:rPr>
                <w:rFonts w:cs="Arial" w:ascii="Marianne" w:hAnsi="Marianne"/>
                <w:sz w:val="22"/>
                <w:szCs w:val="22"/>
              </w:rPr>
              <w:t>20,5 %</w:t>
            </w:r>
          </w:p>
        </w:tc>
      </w:tr>
    </w:tbl>
    <w:p>
      <w:pPr>
        <w:pStyle w:val="BlockText"/>
        <w:jc w:val="center"/>
        <w:rPr>
          <w:rFonts w:ascii="Marianne" w:hAnsi="Marianne" w:cs="Arial"/>
          <w:sz w:val="22"/>
          <w:szCs w:val="22"/>
        </w:rPr>
      </w:pPr>
      <w:r>
        <w:rPr>
          <w:rFonts w:cs="Arial" w:ascii="Marianne" w:hAnsi="Marianne"/>
          <w:sz w:val="22"/>
          <w:szCs w:val="22"/>
        </w:rPr>
      </w:r>
    </w:p>
    <w:p>
      <w:pPr>
        <w:pStyle w:val="BlockText"/>
        <w:rPr>
          <w:rFonts w:ascii="Marianne" w:hAnsi="Marianne"/>
        </w:rPr>
      </w:pPr>
      <w:r>
        <w:rPr>
          <w:rFonts w:ascii="Marianne" w:hAnsi="Marianne"/>
        </w:rPr>
      </w:r>
    </w:p>
    <w:p>
      <w:pPr>
        <w:pStyle w:val="Titre3"/>
        <w:ind w:left="708" w:firstLine="708"/>
        <w:rPr>
          <w:rFonts w:ascii="Marianne" w:hAnsi="Marianne"/>
          <w:spacing w:val="0"/>
          <w:sz w:val="22"/>
          <w:szCs w:val="22"/>
        </w:rPr>
      </w:pPr>
      <w:r>
        <w:rPr>
          <w:rFonts w:ascii="Marianne" w:hAnsi="Marianne"/>
          <w:spacing w:val="0"/>
          <w:sz w:val="22"/>
          <w:szCs w:val="22"/>
        </w:rPr>
        <w:t xml:space="preserve">3.2 </w:t>
      </w:r>
      <w:bookmarkStart w:id="15" w:name="_Toc106367583"/>
      <w:bookmarkStart w:id="16" w:name="_Toc106367692"/>
      <w:bookmarkStart w:id="17" w:name="_Toc106611993"/>
      <w:r>
        <w:rPr>
          <w:rFonts w:ascii="Marianne" w:hAnsi="Marianne"/>
          <w:spacing w:val="0"/>
          <w:sz w:val="22"/>
          <w:szCs w:val="22"/>
        </w:rPr>
        <w:t>Taxe Spéciale de Consommation (TSC)</w:t>
      </w:r>
      <w:bookmarkEnd w:id="15"/>
      <w:bookmarkEnd w:id="16"/>
      <w:bookmarkEnd w:id="17"/>
    </w:p>
    <w:p>
      <w:pPr>
        <w:pStyle w:val="BlockText"/>
        <w:rPr/>
      </w:pPr>
      <w:r>
        <w:rPr>
          <w:rFonts w:cs="Arial" w:ascii="Marianne" w:hAnsi="Marianne"/>
          <w:sz w:val="22"/>
          <w:szCs w:val="22"/>
        </w:rPr>
        <w:t>Les montants de cette taxe sont inchangés depuis 2019</w:t>
      </w:r>
      <w:r>
        <w:rPr>
          <w:rStyle w:val="Ancredenotedebasdepage"/>
          <w:rFonts w:cs="Arial" w:ascii="Marianne" w:hAnsi="Marianne"/>
          <w:sz w:val="22"/>
          <w:szCs w:val="22"/>
        </w:rPr>
        <w:footnoteReference w:id="2"/>
      </w:r>
      <w:r>
        <w:rPr>
          <w:rFonts w:cs="Arial" w:ascii="Marianne" w:hAnsi="Marianne"/>
          <w:sz w:val="22"/>
          <w:szCs w:val="22"/>
        </w:rPr>
        <w:t> :</w:t>
      </w:r>
    </w:p>
    <w:p>
      <w:pPr>
        <w:pStyle w:val="BlockText"/>
        <w:numPr>
          <w:ilvl w:val="0"/>
          <w:numId w:val="1"/>
        </w:numPr>
        <w:ind w:left="1571" w:right="1132" w:hanging="360"/>
        <w:rPr>
          <w:rFonts w:ascii="Marianne" w:hAnsi="Marianne" w:cs="Arial"/>
          <w:sz w:val="22"/>
          <w:szCs w:val="22"/>
        </w:rPr>
      </w:pPr>
      <w:r>
        <w:rPr>
          <w:rFonts w:cs="Arial" w:ascii="Marianne" w:hAnsi="Marianne"/>
          <w:sz w:val="22"/>
          <w:szCs w:val="22"/>
        </w:rPr>
        <w:t>58,24 €/Hl pour le sans-plomb</w:t>
      </w:r>
    </w:p>
    <w:p>
      <w:pPr>
        <w:pStyle w:val="BlockText"/>
        <w:numPr>
          <w:ilvl w:val="0"/>
          <w:numId w:val="1"/>
        </w:numPr>
        <w:ind w:left="1571" w:right="1132" w:hanging="360"/>
        <w:rPr>
          <w:rFonts w:ascii="Marianne" w:hAnsi="Marianne" w:cs="Arial"/>
          <w:sz w:val="22"/>
          <w:szCs w:val="22"/>
        </w:rPr>
      </w:pPr>
      <w:r>
        <w:rPr>
          <w:rFonts w:cs="Arial" w:ascii="Marianne" w:hAnsi="Marianne"/>
          <w:sz w:val="22"/>
          <w:szCs w:val="22"/>
        </w:rPr>
        <w:t>36,13 €/Hl pour le gazole.</w:t>
      </w:r>
    </w:p>
    <w:p>
      <w:pPr>
        <w:pStyle w:val="BlockText"/>
        <w:ind w:left="1211" w:right="0" w:hanging="0"/>
        <w:rPr>
          <w:rFonts w:ascii="Marianne" w:hAnsi="Marianne" w:cs="Arial"/>
          <w:sz w:val="22"/>
          <w:szCs w:val="22"/>
        </w:rPr>
      </w:pPr>
      <w:r>
        <w:rPr>
          <w:rFonts w:cs="Arial" w:ascii="Marianne" w:hAnsi="Marianne"/>
          <w:sz w:val="22"/>
          <w:szCs w:val="22"/>
        </w:rPr>
      </w:r>
    </w:p>
    <w:p>
      <w:pPr>
        <w:pStyle w:val="Titre3"/>
        <w:ind w:left="708" w:firstLine="708"/>
        <w:rPr>
          <w:rFonts w:ascii="Marianne" w:hAnsi="Marianne"/>
          <w:spacing w:val="0"/>
          <w:sz w:val="22"/>
          <w:szCs w:val="22"/>
        </w:rPr>
      </w:pPr>
      <w:r>
        <w:rPr>
          <w:rFonts w:ascii="Marianne" w:hAnsi="Marianne"/>
          <w:spacing w:val="0"/>
          <w:sz w:val="22"/>
          <w:szCs w:val="22"/>
        </w:rPr>
        <w:t>3.3 Certificats d’Économie d’Énergie (CEE)</w:t>
      </w:r>
    </w:p>
    <w:p>
      <w:pPr>
        <w:pStyle w:val="BlockText"/>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L’article 30 de la loi relative à la transition énergétique pour la croissance verte (LTECV) a créé, dans le cadre du dispositif des certificats d’économies d’énergie, une obligation d’économies d’énergie au bénéfice des ménages en situation de précarité énergétique.</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pPr>
      <w:r>
        <w:rPr>
          <w:rFonts w:cs="Arial" w:ascii="Marianne" w:hAnsi="Marianne"/>
          <w:sz w:val="22"/>
          <w:szCs w:val="22"/>
        </w:rPr>
        <w:t>Le mode de calcul des CEE a évolué à compter du 1</w:t>
      </w:r>
      <w:r>
        <w:rPr>
          <w:rFonts w:cs="Arial" w:ascii="Marianne" w:hAnsi="Marianne"/>
          <w:sz w:val="22"/>
          <w:szCs w:val="22"/>
          <w:vertAlign w:val="superscript"/>
        </w:rPr>
        <w:t>er</w:t>
      </w:r>
      <w:r>
        <w:rPr>
          <w:rFonts w:cs="Arial" w:ascii="Marianne" w:hAnsi="Marianne"/>
          <w:sz w:val="22"/>
          <w:szCs w:val="22"/>
        </w:rPr>
        <w:t xml:space="preserve"> janvier 2023</w:t>
      </w:r>
      <w:r>
        <w:rPr>
          <w:rStyle w:val="Ancredenotedebasdepage"/>
          <w:rFonts w:cs="Arial" w:ascii="Marianne" w:hAnsi="Marianne"/>
          <w:sz w:val="22"/>
          <w:szCs w:val="22"/>
        </w:rPr>
        <w:footnoteReference w:id="3"/>
      </w:r>
      <w:r>
        <w:rPr>
          <w:rFonts w:cs="Arial" w:ascii="Marianne" w:hAnsi="Marianne"/>
          <w:sz w:val="22"/>
          <w:szCs w:val="22"/>
        </w:rPr>
        <w:t>, pour la période 2023-2025.</w:t>
      </w:r>
    </w:p>
    <w:p>
      <w:pPr>
        <w:pStyle w:val="BlockText"/>
        <w:ind w:left="851" w:right="565" w:hanging="0"/>
        <w:rPr>
          <w:rFonts w:ascii="Marianne" w:hAnsi="Marianne" w:cs="Arial"/>
          <w:sz w:val="22"/>
          <w:szCs w:val="22"/>
        </w:rPr>
      </w:pPr>
      <w:r>
        <w:rPr>
          <w:rFonts w:cs="Arial" w:ascii="Marianne" w:hAnsi="Marianne"/>
          <w:sz w:val="22"/>
          <w:szCs w:val="22"/>
        </w:rPr>
        <w:t>Les indices du registre EMMY sont en très légère baisse (- 0,61 %).</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numPr>
          <w:ilvl w:val="0"/>
          <w:numId w:val="2"/>
        </w:numPr>
        <w:ind w:left="1276" w:right="565" w:hanging="360"/>
        <w:rPr>
          <w:rFonts w:ascii="Marianne" w:hAnsi="Marianne" w:cs="Arial"/>
          <w:sz w:val="22"/>
          <w:szCs w:val="22"/>
        </w:rPr>
      </w:pPr>
      <w:r>
        <w:rPr>
          <w:rFonts w:cs="Arial" w:ascii="Marianne" w:hAnsi="Marianne"/>
          <w:sz w:val="22"/>
          <w:szCs w:val="22"/>
        </w:rPr>
        <w:t xml:space="preserve">Au final, le total des fiscalités est en légère baisse </w:t>
      </w:r>
      <w:r>
        <w:rPr>
          <w:rFonts w:cs="Courier New" w:ascii="Marianne" w:hAnsi="Marianne"/>
          <w:sz w:val="22"/>
          <w:szCs w:val="22"/>
        </w:rPr>
        <w:t xml:space="preserve">pour </w:t>
      </w:r>
      <w:r>
        <w:rPr>
          <w:rFonts w:cs="Arial" w:ascii="Marianne" w:hAnsi="Marianne"/>
          <w:sz w:val="22"/>
          <w:szCs w:val="22"/>
        </w:rPr>
        <w:t xml:space="preserve">le supercarburant (- 1,35 %) </w:t>
      </w:r>
      <w:r>
        <w:rPr>
          <w:rFonts w:cs="Courier New" w:ascii="Marianne" w:hAnsi="Marianne"/>
          <w:sz w:val="22"/>
          <w:szCs w:val="22"/>
        </w:rPr>
        <w:t xml:space="preserve">et </w:t>
      </w:r>
      <w:r>
        <w:rPr>
          <w:rFonts w:cs="Arial" w:ascii="Marianne" w:hAnsi="Marianne"/>
          <w:sz w:val="22"/>
          <w:szCs w:val="22"/>
        </w:rPr>
        <w:t>le gazole (- 0,53 %).</w:t>
      </w:r>
    </w:p>
    <w:p>
      <w:pPr>
        <w:pStyle w:val="BlockText"/>
        <w:rPr>
          <w:rFonts w:ascii="Marianne" w:hAnsi="Marianne"/>
          <w:b/>
          <w:bCs/>
        </w:rPr>
      </w:pPr>
      <w:r>
        <w:rPr>
          <w:rFonts w:ascii="Marianne" w:hAnsi="Marianne"/>
          <w:b/>
          <w:bCs/>
        </w:rPr>
      </w:r>
    </w:p>
    <w:p>
      <w:pPr>
        <w:pStyle w:val="Titre2"/>
        <w:ind w:firstLine="708"/>
        <w:rPr>
          <w:rFonts w:ascii="Marianne" w:hAnsi="Marianne"/>
          <w:i w:val="false"/>
          <w:i w:val="false"/>
          <w:sz w:val="22"/>
        </w:rPr>
      </w:pPr>
      <w:r>
        <w:rPr>
          <w:rFonts w:ascii="Marianne" w:hAnsi="Marianne"/>
          <w:i w:val="false"/>
          <w:sz w:val="22"/>
        </w:rPr>
        <w:t xml:space="preserve">4.  </w:t>
      </w:r>
      <w:bookmarkStart w:id="18" w:name="_Toc115096730"/>
      <w:r>
        <w:rPr>
          <w:rFonts w:ascii="Marianne" w:hAnsi="Marianne"/>
          <w:i w:val="false"/>
          <w:sz w:val="22"/>
        </w:rPr>
        <w:t>Le prix de passage</w:t>
      </w:r>
      <w:bookmarkEnd w:id="18"/>
    </w:p>
    <w:p>
      <w:pPr>
        <w:pStyle w:val="Normal"/>
        <w:ind w:left="851" w:right="1132" w:hanging="0"/>
        <w:rPr>
          <w:rFonts w:ascii="Marianne" w:hAnsi="Marianne" w:cs="Arial"/>
          <w:b/>
          <w:bCs/>
          <w:sz w:val="22"/>
          <w:szCs w:val="22"/>
        </w:rPr>
      </w:pPr>
      <w:r>
        <w:rPr>
          <w:rFonts w:cs="Arial" w:ascii="Marianne" w:hAnsi="Marianne"/>
          <w:b/>
          <w:bCs/>
          <w:sz w:val="22"/>
          <w:szCs w:val="22"/>
        </w:rPr>
      </w:r>
    </w:p>
    <w:p>
      <w:pPr>
        <w:pStyle w:val="Normal"/>
        <w:ind w:left="851" w:right="565" w:hanging="0"/>
        <w:rPr>
          <w:rFonts w:ascii="Marianne" w:hAnsi="Marianne" w:cs="Arial"/>
          <w:sz w:val="22"/>
          <w:szCs w:val="22"/>
          <w:lang w:eastAsia="zh-CN"/>
        </w:rPr>
      </w:pPr>
      <w:r>
        <w:rPr>
          <w:rFonts w:cs="Arial" w:ascii="Marianne" w:hAnsi="Marianne"/>
          <w:sz w:val="22"/>
          <w:szCs w:val="22"/>
          <w:lang w:eastAsia="zh-CN"/>
        </w:rPr>
        <w:t>Comme chaque année, le prix du passage a évolué en août, pour 12 mois.</w:t>
      </w:r>
    </w:p>
    <w:p>
      <w:pPr>
        <w:pStyle w:val="Normal"/>
        <w:ind w:left="851" w:right="565" w:hanging="0"/>
        <w:rPr>
          <w:rFonts w:ascii="Marianne" w:hAnsi="Marianne" w:cs="Arial"/>
          <w:sz w:val="22"/>
          <w:szCs w:val="22"/>
          <w:lang w:eastAsia="zh-CN"/>
        </w:rPr>
      </w:pPr>
      <w:r>
        <w:rPr>
          <w:rFonts w:cs="Arial" w:ascii="Marianne" w:hAnsi="Marianne"/>
          <w:sz w:val="22"/>
          <w:szCs w:val="22"/>
          <w:lang w:eastAsia="zh-CN"/>
        </w:rPr>
      </w:r>
    </w:p>
    <w:p>
      <w:pPr>
        <w:pStyle w:val="BlockText"/>
        <w:ind w:left="851" w:right="565" w:hanging="0"/>
        <w:rPr>
          <w:rFonts w:ascii="Marianne" w:hAnsi="Marianne" w:cs="Arial"/>
          <w:sz w:val="22"/>
          <w:szCs w:val="22"/>
        </w:rPr>
      </w:pPr>
      <w:r>
        <w:rPr>
          <w:rFonts w:cs="Arial" w:ascii="Marianne" w:hAnsi="Marianne"/>
          <w:sz w:val="22"/>
          <w:szCs w:val="22"/>
        </w:rPr>
        <w:t>Ces frais s’établissent à 1,8973 €/hl pour les carburants et à 281,7512 €/tonne pour le gaz (soit 3,5219 € par bouteille de 12,5 kgs).</w:t>
      </w:r>
    </w:p>
    <w:p>
      <w:pPr>
        <w:pStyle w:val="BlockText"/>
        <w:rPr>
          <w:rFonts w:ascii="Marianne" w:hAnsi="Marianne"/>
        </w:rPr>
      </w:pPr>
      <w:r>
        <w:rPr>
          <w:rFonts w:ascii="Marianne" w:hAnsi="Marianne"/>
        </w:rPr>
      </w:r>
    </w:p>
    <w:p>
      <w:pPr>
        <w:pStyle w:val="Titre2"/>
        <w:ind w:firstLine="708"/>
        <w:rPr>
          <w:rFonts w:ascii="Marianne" w:hAnsi="Marianne"/>
          <w:i w:val="false"/>
          <w:i w:val="false"/>
          <w:sz w:val="22"/>
        </w:rPr>
      </w:pPr>
      <w:r>
        <w:rPr>
          <w:rFonts w:ascii="Marianne" w:hAnsi="Marianne"/>
          <w:i w:val="false"/>
          <w:sz w:val="22"/>
        </w:rPr>
        <w:t xml:space="preserve">5.  </w:t>
      </w:r>
      <w:bookmarkStart w:id="19" w:name="_Toc115096731"/>
      <w:r>
        <w:rPr>
          <w:rFonts w:ascii="Marianne" w:hAnsi="Marianne"/>
          <w:i w:val="false"/>
          <w:sz w:val="22"/>
        </w:rPr>
        <w:t>Les marges des importateurs</w:t>
      </w:r>
      <w:bookmarkEnd w:id="19"/>
    </w:p>
    <w:p>
      <w:pPr>
        <w:pStyle w:val="Normal"/>
        <w:tabs>
          <w:tab w:val="clear" w:pos="709"/>
          <w:tab w:val="left" w:pos="10490" w:leader="none"/>
        </w:tabs>
        <w:ind w:left="851" w:right="-2" w:hanging="0"/>
        <w:rPr>
          <w:rFonts w:ascii="Marianne" w:hAnsi="Marianne" w:cs="Arial"/>
          <w:b/>
          <w:bCs/>
          <w:sz w:val="22"/>
          <w:szCs w:val="22"/>
        </w:rPr>
      </w:pPr>
      <w:r>
        <w:rPr>
          <w:rFonts w:cs="Arial" w:ascii="Marianne" w:hAnsi="Marianne"/>
          <w:b/>
          <w:bCs/>
          <w:sz w:val="22"/>
          <w:szCs w:val="22"/>
        </w:rPr>
      </w:r>
    </w:p>
    <w:p>
      <w:pPr>
        <w:pStyle w:val="Corpsdetexte"/>
        <w:spacing w:lineRule="auto" w:line="276"/>
        <w:ind w:left="851" w:right="565" w:hanging="0"/>
        <w:rPr>
          <w:rFonts w:ascii="Marianne" w:hAnsi="Marianne" w:cs="Arial"/>
          <w:sz w:val="22"/>
          <w:szCs w:val="22"/>
        </w:rPr>
      </w:pPr>
      <w:r>
        <w:rPr>
          <w:rFonts w:cs="Arial" w:ascii="Marianne" w:hAnsi="Marianne"/>
          <w:sz w:val="22"/>
          <w:szCs w:val="22"/>
        </w:rPr>
        <w:t>Le niveau des marges réglementées est inchangé pour l’année 2024, les demandes de revalorisation présentées ayant été déclarées irrecevables au regard de l’article 7 de l’arrêté du 5 février 2014 relatif à la mise en œuvre du décret n° 2013-1315 du 27 décembre 2013 réglementant les prix des produits pétroliers ainsi que le fonctionnement des marchés de gros pour la distribution de ces produits dans le département de La Réunion.</w:t>
      </w:r>
    </w:p>
    <w:p>
      <w:pPr>
        <w:pStyle w:val="BlockText"/>
        <w:ind w:left="851" w:right="565"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Chaque mois, l’arrondi du mois précédent est soustrait ou ajouté à la marge afin que la somme des arrondis soit nulle. Cette procédure a de nouveau été appliquée ce mois-ci.</w:t>
      </w:r>
    </w:p>
    <w:p>
      <w:pPr>
        <w:pStyle w:val="Normal"/>
        <w:tabs>
          <w:tab w:val="clear" w:pos="709"/>
          <w:tab w:val="left" w:pos="9923" w:leader="none"/>
        </w:tabs>
        <w:ind w:left="851" w:right="-2" w:hanging="0"/>
        <w:rPr>
          <w:rFonts w:ascii="Marianne" w:hAnsi="Marianne" w:cs="Arial"/>
          <w:sz w:val="22"/>
          <w:szCs w:val="22"/>
        </w:rPr>
      </w:pPr>
      <w:r>
        <w:rPr>
          <w:rFonts w:cs="Arial" w:ascii="Marianne" w:hAnsi="Marianne"/>
          <w:sz w:val="22"/>
          <w:szCs w:val="22"/>
        </w:rPr>
      </w:r>
    </w:p>
    <w:p>
      <w:pPr>
        <w:pStyle w:val="Normal"/>
        <w:ind w:left="851" w:right="565" w:hanging="0"/>
        <w:rPr>
          <w:rFonts w:ascii="Marianne" w:hAnsi="Marianne" w:cs="Arial"/>
          <w:sz w:val="22"/>
          <w:szCs w:val="22"/>
        </w:rPr>
      </w:pPr>
      <w:r>
        <w:rPr>
          <w:rFonts w:cs="Arial" w:ascii="Marianne" w:hAnsi="Marianne"/>
          <w:sz w:val="22"/>
          <w:szCs w:val="22"/>
        </w:rPr>
        <w:t>Le détail des marges des pétroliers se présente alors comme suit pour le mois de janvier</w:t>
      </w:r>
      <w:r>
        <w:rPr>
          <w:rFonts w:cs="Courier New" w:ascii="Marianne" w:hAnsi="Marianne"/>
          <w:sz w:val="22"/>
          <w:szCs w:val="22"/>
        </w:rPr>
        <w:t> </w:t>
      </w:r>
      <w:r>
        <w:rPr>
          <w:rFonts w:cs="Arial" w:ascii="Marianne" w:hAnsi="Marianne"/>
          <w:sz w:val="22"/>
          <w:szCs w:val="22"/>
        </w:rPr>
        <w:t>:</w:t>
      </w:r>
    </w:p>
    <w:p>
      <w:pPr>
        <w:pStyle w:val="Normal"/>
        <w:ind w:left="851" w:right="565" w:hanging="0"/>
        <w:rPr/>
      </w:pPr>
      <w:r>
        <w:rPr/>
      </w:r>
    </w:p>
    <w:tbl>
      <w:tblPr>
        <w:tblW w:w="8363" w:type="dxa"/>
        <w:jc w:val="left"/>
        <w:tblInd w:w="1271" w:type="dxa"/>
        <w:tblLayout w:type="fixed"/>
        <w:tblCellMar>
          <w:top w:w="0" w:type="dxa"/>
          <w:left w:w="70" w:type="dxa"/>
          <w:bottom w:w="0" w:type="dxa"/>
          <w:right w:w="70" w:type="dxa"/>
        </w:tblCellMar>
        <w:tblLook w:firstRow="0" w:noVBand="0" w:lastRow="0" w:firstColumn="0" w:lastColumn="0" w:noHBand="0" w:val="0000"/>
      </w:tblPr>
      <w:tblGrid>
        <w:gridCol w:w="3826"/>
        <w:gridCol w:w="1419"/>
        <w:gridCol w:w="1559"/>
        <w:gridCol w:w="1558"/>
      </w:tblGrid>
      <w:tr>
        <w:trPr>
          <w:trHeight w:val="454" w:hRule="atLeast"/>
        </w:trPr>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Fonts w:cs="Courier New" w:ascii="Marianne" w:hAnsi="Marianne"/>
              </w:rPr>
              <w:t> </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rPr>
            </w:pPr>
            <w:r>
              <w:rPr>
                <w:rFonts w:cs="Arial" w:ascii="Marianne" w:hAnsi="Marianne"/>
              </w:rPr>
              <w:t>Sans-Plomb</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Gazole</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w:t>
            </w:r>
          </w:p>
        </w:tc>
      </w:tr>
      <w:tr>
        <w:trPr>
          <w:trHeight w:val="454" w:hRule="atLeast"/>
        </w:trPr>
        <w:tc>
          <w:tcPr>
            <w:tcW w:w="3826" w:type="dxa"/>
            <w:tcBorders>
              <w:left w:val="single" w:sz="4" w:space="0" w:color="000000"/>
              <w:bottom w:val="single" w:sz="4" w:space="0" w:color="000000"/>
              <w:right w:val="single" w:sz="4" w:space="0" w:color="000000"/>
            </w:tcBorders>
            <w:vAlign w:val="center"/>
          </w:tcPr>
          <w:p>
            <w:pPr>
              <w:pStyle w:val="Normal"/>
              <w:widowControl w:val="false"/>
              <w:rPr/>
            </w:pPr>
            <w:r>
              <w:rPr>
                <w:rFonts w:cs="Courier New" w:ascii="Marianne" w:hAnsi="Marianne"/>
              </w:rPr>
              <w:t> </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w:t>
            </w:r>
            <w:r>
              <w:rPr>
                <w:rFonts w:cs="Arial" w:ascii="Marianne" w:hAnsi="Marianne"/>
              </w:rPr>
              <w:t>/hl</w:t>
            </w:r>
          </w:p>
        </w:tc>
        <w:tc>
          <w:tcPr>
            <w:tcW w:w="155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w:t>
            </w:r>
            <w:r>
              <w:rPr>
                <w:rFonts w:cs="Arial" w:ascii="Marianne" w:hAnsi="Marianne"/>
              </w:rPr>
              <w:t>/hl</w:t>
            </w:r>
          </w:p>
        </w:tc>
        <w:tc>
          <w:tcPr>
            <w:tcW w:w="155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w:t>
            </w:r>
            <w:r>
              <w:rPr>
                <w:rFonts w:cs="Arial" w:ascii="Marianne" w:hAnsi="Marianne"/>
              </w:rPr>
              <w:t>/bouteille</w:t>
            </w:r>
          </w:p>
        </w:tc>
      </w:tr>
      <w:tr>
        <w:trPr>
          <w:trHeight w:val="454" w:hRule="atLeast"/>
        </w:trPr>
        <w:tc>
          <w:tcPr>
            <w:tcW w:w="3826"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sz w:val="22"/>
                <w:szCs w:val="22"/>
              </w:rPr>
            </w:pPr>
            <w:r>
              <w:rPr>
                <w:rFonts w:cs="Arial" w:ascii="Marianne" w:hAnsi="Marianne"/>
                <w:sz w:val="22"/>
                <w:szCs w:val="22"/>
              </w:rPr>
              <w:t>Marge de gros réglementée</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9,0110</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9,0110</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5,8645</w:t>
            </w:r>
          </w:p>
        </w:tc>
      </w:tr>
      <w:tr>
        <w:trPr>
          <w:trHeight w:val="454" w:hRule="atLeast"/>
        </w:trPr>
        <w:tc>
          <w:tcPr>
            <w:tcW w:w="3826"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sz w:val="22"/>
                <w:szCs w:val="22"/>
              </w:rPr>
            </w:pPr>
            <w:r>
              <w:rPr>
                <w:rFonts w:cs="Arial" w:ascii="Marianne" w:hAnsi="Marianne"/>
                <w:sz w:val="22"/>
                <w:szCs w:val="22"/>
              </w:rPr>
              <w:t>Réintégration arrondi précédent</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0,3547</w:t>
            </w:r>
          </w:p>
        </w:tc>
        <w:tc>
          <w:tcPr>
            <w:tcW w:w="155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-0,4930</w:t>
            </w:r>
          </w:p>
        </w:tc>
        <w:tc>
          <w:tcPr>
            <w:tcW w:w="155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0,0002</w:t>
            </w:r>
          </w:p>
        </w:tc>
      </w:tr>
      <w:tr>
        <w:trPr>
          <w:trHeight w:val="454" w:hRule="atLeast"/>
        </w:trPr>
        <w:tc>
          <w:tcPr>
            <w:tcW w:w="3826"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sz w:val="22"/>
                <w:szCs w:val="22"/>
              </w:rPr>
            </w:pPr>
            <w:r>
              <w:rPr>
                <w:rFonts w:cs="Arial" w:ascii="Marianne" w:hAnsi="Marianne"/>
                <w:sz w:val="22"/>
                <w:szCs w:val="22"/>
              </w:rPr>
              <w:t>Marge apparente</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9,3657</w:t>
            </w:r>
          </w:p>
        </w:tc>
        <w:tc>
          <w:tcPr>
            <w:tcW w:w="155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8,5180</w:t>
            </w:r>
          </w:p>
        </w:tc>
        <w:tc>
          <w:tcPr>
            <w:tcW w:w="155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5,8647</w:t>
            </w:r>
          </w:p>
        </w:tc>
      </w:tr>
      <w:tr>
        <w:trPr>
          <w:trHeight w:val="454" w:hRule="atLeast"/>
        </w:trPr>
        <w:tc>
          <w:tcPr>
            <w:tcW w:w="3826" w:type="dxa"/>
            <w:tcBorders>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sz w:val="22"/>
                <w:szCs w:val="22"/>
              </w:rPr>
            </w:pPr>
            <w:r>
              <w:rPr>
                <w:rFonts w:cs="Arial" w:ascii="Marianne" w:hAnsi="Marianne"/>
                <w:sz w:val="22"/>
                <w:szCs w:val="22"/>
              </w:rPr>
              <w:t>Arrondi</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0,1623</w:t>
            </w:r>
          </w:p>
        </w:tc>
        <w:tc>
          <w:tcPr>
            <w:tcW w:w="155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-0,4195</w:t>
            </w:r>
          </w:p>
        </w:tc>
        <w:tc>
          <w:tcPr>
            <w:tcW w:w="155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-0,0004</w:t>
            </w:r>
          </w:p>
        </w:tc>
      </w:tr>
      <w:tr>
        <w:trPr>
          <w:trHeight w:val="454" w:hRule="atLeast"/>
        </w:trPr>
        <w:tc>
          <w:tcPr>
            <w:tcW w:w="382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jc w:val="left"/>
              <w:rPr>
                <w:rFonts w:ascii="Marianne" w:hAnsi="Marianne" w:cs="Arial"/>
                <w:sz w:val="22"/>
                <w:szCs w:val="22"/>
              </w:rPr>
            </w:pPr>
            <w:r>
              <w:rPr>
                <w:rFonts w:cs="Arial" w:ascii="Marianne" w:hAnsi="Marianne"/>
                <w:sz w:val="22"/>
                <w:szCs w:val="22"/>
              </w:rPr>
              <w:t>Marge de gros</w:t>
            </w:r>
          </w:p>
        </w:tc>
        <w:tc>
          <w:tcPr>
            <w:tcW w:w="141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9,5280</w:t>
            </w:r>
          </w:p>
        </w:tc>
        <w:tc>
          <w:tcPr>
            <w:tcW w:w="155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8,0985</w:t>
            </w:r>
          </w:p>
        </w:tc>
        <w:tc>
          <w:tcPr>
            <w:tcW w:w="155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5,8643</w:t>
            </w:r>
          </w:p>
        </w:tc>
      </w:tr>
    </w:tbl>
    <w:p>
      <w:pPr>
        <w:pStyle w:val="Normal"/>
        <w:ind w:left="851" w:right="1132" w:hanging="0"/>
        <w:rPr/>
      </w:pPr>
      <w:r>
        <w:rPr/>
      </w:r>
    </w:p>
    <w:p>
      <w:pPr>
        <w:pStyle w:val="Titre2"/>
        <w:ind w:firstLine="708"/>
        <w:rPr>
          <w:rFonts w:ascii="Marianne" w:hAnsi="Marianne"/>
          <w:i w:val="false"/>
          <w:i w:val="false"/>
          <w:sz w:val="22"/>
        </w:rPr>
      </w:pPr>
      <w:r>
        <w:rPr>
          <w:rFonts w:ascii="Marianne" w:hAnsi="Marianne"/>
          <w:i w:val="false"/>
          <w:sz w:val="22"/>
        </w:rPr>
        <w:t xml:space="preserve">6.  </w:t>
      </w:r>
      <w:bookmarkStart w:id="20" w:name="_Toc115096732"/>
      <w:r>
        <w:rPr>
          <w:rFonts w:ascii="Marianne" w:hAnsi="Marianne"/>
          <w:i w:val="false"/>
          <w:sz w:val="22"/>
        </w:rPr>
        <w:t>La marge des détaillants</w:t>
      </w:r>
      <w:bookmarkEnd w:id="20"/>
      <w:r>
        <w:rPr>
          <w:rFonts w:ascii="Marianne" w:hAnsi="Marianne"/>
          <w:i w:val="false"/>
          <w:sz w:val="22"/>
        </w:rPr>
        <w:t> </w:t>
      </w:r>
    </w:p>
    <w:p>
      <w:pPr>
        <w:pStyle w:val="Normal"/>
        <w:ind w:left="851" w:right="1132" w:hanging="0"/>
        <w:rPr>
          <w:rFonts w:ascii="Marianne" w:hAnsi="Marianne" w:cs="Arial"/>
          <w:b/>
          <w:bCs/>
          <w:sz w:val="22"/>
          <w:szCs w:val="22"/>
        </w:rPr>
      </w:pPr>
      <w:r>
        <w:rPr>
          <w:rFonts w:cs="Arial" w:ascii="Marianne" w:hAnsi="Marianne"/>
          <w:b/>
          <w:bCs/>
          <w:sz w:val="22"/>
          <w:szCs w:val="22"/>
        </w:rPr>
      </w:r>
    </w:p>
    <w:p>
      <w:pPr>
        <w:pStyle w:val="BlockText"/>
        <w:ind w:left="851" w:right="565" w:hanging="0"/>
        <w:rPr>
          <w:rFonts w:ascii="Marianne" w:hAnsi="Marianne" w:cs="Arial"/>
          <w:sz w:val="22"/>
          <w:szCs w:val="22"/>
        </w:rPr>
      </w:pPr>
      <w:r>
        <w:rPr>
          <w:rFonts w:cs="Arial" w:ascii="Marianne" w:hAnsi="Marianne"/>
          <w:sz w:val="22"/>
          <w:szCs w:val="22"/>
        </w:rPr>
        <w:t>Le niveau des marges réglementées est inchangé pour l’année 2024, la demande de revalorisation présentée ayant été déclarée irrecevables au regard des articles 8 et 9 de l’arrêté du 5 février 2014 susvisé.</w:t>
      </w:r>
    </w:p>
    <w:p>
      <w:pPr>
        <w:pStyle w:val="BlockText"/>
        <w:tabs>
          <w:tab w:val="clear" w:pos="709"/>
          <w:tab w:val="left" w:pos="10490" w:leader="none"/>
        </w:tabs>
        <w:rPr>
          <w:rFonts w:ascii="Marianne" w:hAnsi="Marianne" w:cs="Arial"/>
          <w:sz w:val="22"/>
          <w:szCs w:val="22"/>
        </w:rPr>
      </w:pPr>
      <w:r>
        <w:rPr>
          <w:rFonts w:cs="Arial" w:ascii="Marianne" w:hAnsi="Marianne"/>
          <w:sz w:val="22"/>
          <w:szCs w:val="22"/>
        </w:rPr>
      </w:r>
    </w:p>
    <w:p>
      <w:pPr>
        <w:pStyle w:val="BlockText"/>
        <w:tabs>
          <w:tab w:val="clear" w:pos="709"/>
          <w:tab w:val="left" w:pos="10490" w:leader="none"/>
        </w:tabs>
        <w:rPr/>
      </w:pPr>
      <w:r>
        <w:rPr>
          <w:rFonts w:cs="Arial" w:ascii="Marianne" w:hAnsi="Marianne"/>
          <w:sz w:val="22"/>
          <w:szCs w:val="22"/>
        </w:rPr>
        <w:t xml:space="preserve">Elle s’établit à </w:t>
      </w:r>
      <w:r>
        <w:rPr>
          <w:rFonts w:cs="Arial" w:ascii="Marianne" w:hAnsi="Marianne"/>
          <w:b/>
          <w:sz w:val="22"/>
          <w:szCs w:val="22"/>
        </w:rPr>
        <w:t>12,1598</w:t>
      </w:r>
      <w:r>
        <w:rPr>
          <w:rFonts w:cs="Arial" w:ascii="Marianne" w:hAnsi="Marianne"/>
          <w:sz w:val="22"/>
          <w:szCs w:val="22"/>
        </w:rPr>
        <w:t xml:space="preserve"> €/hl pour les carburants.</w:t>
      </w:r>
    </w:p>
    <w:p>
      <w:pPr>
        <w:pStyle w:val="BlockText"/>
        <w:tabs>
          <w:tab w:val="clear" w:pos="709"/>
          <w:tab w:val="left" w:pos="10490" w:leader="none"/>
        </w:tabs>
        <w:rPr>
          <w:rFonts w:ascii="Marianne" w:hAnsi="Marianne" w:cs="Arial"/>
          <w:sz w:val="22"/>
          <w:szCs w:val="22"/>
        </w:rPr>
      </w:pPr>
      <w:r>
        <w:rPr>
          <w:rFonts w:cs="Arial" w:ascii="Marianne" w:hAnsi="Marianne"/>
          <w:sz w:val="22"/>
          <w:szCs w:val="22"/>
        </w:rPr>
        <w:t xml:space="preserve">Celle du gaz est à </w:t>
      </w:r>
      <w:r>
        <w:rPr>
          <w:rFonts w:cs="Arial" w:ascii="Marianne" w:hAnsi="Marianne"/>
          <w:b/>
          <w:sz w:val="22"/>
          <w:szCs w:val="22"/>
        </w:rPr>
        <w:t>128,4127</w:t>
      </w:r>
      <w:r>
        <w:rPr>
          <w:rFonts w:cs="Courier New" w:ascii="Marianne" w:hAnsi="Marianne"/>
          <w:sz w:val="22"/>
          <w:szCs w:val="22"/>
        </w:rPr>
        <w:t> </w:t>
      </w:r>
      <w:r>
        <w:rPr>
          <w:rFonts w:cs="Arial" w:ascii="Marianne" w:hAnsi="Marianne"/>
          <w:sz w:val="22"/>
          <w:szCs w:val="22"/>
        </w:rPr>
        <w:t>€/tonne (1,6052 €/bouteille).</w:t>
      </w:r>
    </w:p>
    <w:p>
      <w:pPr>
        <w:pStyle w:val="BlockText"/>
        <w:tabs>
          <w:tab w:val="clear" w:pos="709"/>
          <w:tab w:val="left" w:pos="10490" w:leader="none"/>
        </w:tabs>
        <w:rPr>
          <w:rFonts w:ascii="Marianne" w:hAnsi="Marianne" w:cs="Arial"/>
          <w:sz w:val="22"/>
          <w:szCs w:val="22"/>
        </w:rPr>
      </w:pPr>
      <w:r>
        <w:rPr>
          <w:rFonts w:cs="Arial" w:ascii="Marianne" w:hAnsi="Marianne"/>
          <w:sz w:val="22"/>
          <w:szCs w:val="22"/>
        </w:rPr>
      </w:r>
    </w:p>
    <w:p>
      <w:pPr>
        <w:pStyle w:val="BlockText"/>
        <w:tabs>
          <w:tab w:val="clear" w:pos="709"/>
          <w:tab w:val="left" w:pos="10490" w:leader="none"/>
        </w:tabs>
        <w:rPr>
          <w:rFonts w:ascii="Marianne" w:hAnsi="Marianne" w:cs="Arial"/>
          <w:sz w:val="22"/>
          <w:szCs w:val="22"/>
        </w:rPr>
      </w:pPr>
      <w:r>
        <w:rPr>
          <w:rFonts w:cs="Arial" w:ascii="Marianne" w:hAnsi="Marianne"/>
          <w:sz w:val="22"/>
          <w:szCs w:val="22"/>
        </w:rPr>
      </w:r>
    </w:p>
    <w:p>
      <w:pPr>
        <w:pStyle w:val="Titre2"/>
        <w:ind w:firstLine="708"/>
        <w:rPr>
          <w:rFonts w:ascii="Marianne" w:hAnsi="Marianne"/>
          <w:i w:val="false"/>
          <w:i w:val="false"/>
          <w:sz w:val="22"/>
        </w:rPr>
      </w:pPr>
      <w:r>
        <w:rPr>
          <w:rFonts w:ascii="Marianne" w:hAnsi="Marianne"/>
          <w:i w:val="false"/>
          <w:sz w:val="22"/>
        </w:rPr>
        <w:t xml:space="preserve">7.  </w:t>
      </w:r>
      <w:bookmarkStart w:id="21" w:name="_Toc115096733"/>
      <w:r>
        <w:rPr>
          <w:rFonts w:ascii="Marianne" w:hAnsi="Marianne"/>
          <w:i w:val="false"/>
          <w:sz w:val="22"/>
        </w:rPr>
        <w:t>Détermination des prix de structure</w:t>
      </w:r>
      <w:bookmarkEnd w:id="21"/>
    </w:p>
    <w:p>
      <w:pPr>
        <w:pStyle w:val="Normal"/>
        <w:ind w:left="851" w:right="1132" w:hanging="0"/>
        <w:rPr>
          <w:rFonts w:ascii="Marianne" w:hAnsi="Marianne" w:cs="Arial"/>
          <w:sz w:val="22"/>
          <w:szCs w:val="22"/>
        </w:rPr>
      </w:pPr>
      <w:r>
        <w:rPr>
          <w:rFonts w:cs="Arial" w:ascii="Marianne" w:hAnsi="Marianne"/>
          <w:sz w:val="22"/>
          <w:szCs w:val="22"/>
        </w:rPr>
      </w:r>
    </w:p>
    <w:p>
      <w:pPr>
        <w:pStyle w:val="BlockText"/>
        <w:ind w:left="851" w:right="565" w:hanging="0"/>
        <w:rPr>
          <w:rFonts w:ascii="Marianne" w:hAnsi="Marianne" w:cs="Arial"/>
          <w:sz w:val="22"/>
          <w:szCs w:val="22"/>
        </w:rPr>
      </w:pPr>
      <w:r>
        <w:rPr>
          <w:rFonts w:cs="Arial" w:ascii="Marianne" w:hAnsi="Marianne"/>
          <w:sz w:val="22"/>
          <w:szCs w:val="22"/>
        </w:rPr>
        <w:t>Le tableau ci-dessous détaille les structures de prix des produits (prix en euro par hectolitre pour les carburants ou par tonne pour le gaz).</w:t>
      </w:r>
    </w:p>
    <w:p>
      <w:pPr>
        <w:pStyle w:val="BlockText"/>
        <w:rPr/>
      </w:pPr>
      <w:r>
        <w:rPr/>
      </w:r>
    </w:p>
    <w:tbl>
      <w:tblPr>
        <w:tblW w:w="10080" w:type="dxa"/>
        <w:jc w:val="left"/>
        <w:tblInd w:w="969" w:type="dxa"/>
        <w:tblLayout w:type="fixed"/>
        <w:tblCellMar>
          <w:top w:w="0" w:type="dxa"/>
          <w:left w:w="70" w:type="dxa"/>
          <w:bottom w:w="0" w:type="dxa"/>
          <w:right w:w="70" w:type="dxa"/>
        </w:tblCellMar>
        <w:tblLook w:firstRow="1" w:noVBand="1" w:lastRow="0" w:firstColumn="1" w:lastColumn="0" w:noHBand="0" w:val="04a0"/>
      </w:tblPr>
      <w:tblGrid>
        <w:gridCol w:w="1680"/>
        <w:gridCol w:w="1199"/>
        <w:gridCol w:w="1201"/>
        <w:gridCol w:w="1199"/>
        <w:gridCol w:w="1201"/>
        <w:gridCol w:w="1199"/>
        <w:gridCol w:w="1201"/>
        <w:gridCol w:w="1198"/>
      </w:tblGrid>
      <w:tr>
        <w:trPr>
          <w:trHeight w:val="1131"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r>
          </w:p>
        </w:tc>
        <w:tc>
          <w:tcPr>
            <w:tcW w:w="11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Super Sans Plomb</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SP Mer</w:t>
            </w:r>
          </w:p>
        </w:tc>
        <w:tc>
          <w:tcPr>
            <w:tcW w:w="11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Gazole</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GNR</w:t>
            </w:r>
          </w:p>
        </w:tc>
        <w:tc>
          <w:tcPr>
            <w:tcW w:w="11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xml:space="preserve">PL </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Gazole Mer</w:t>
            </w:r>
          </w:p>
        </w:tc>
        <w:tc>
          <w:tcPr>
            <w:tcW w:w="119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Gaz</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Prix CAF</w:t>
            </w:r>
          </w:p>
        </w:tc>
        <w:tc>
          <w:tcPr>
            <w:tcW w:w="11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59,5369</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59,5369</w:t>
            </w:r>
          </w:p>
        </w:tc>
        <w:tc>
          <w:tcPr>
            <w:tcW w:w="11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63,2067</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63,2067</w:t>
            </w:r>
          </w:p>
        </w:tc>
        <w:tc>
          <w:tcPr>
            <w:tcW w:w="11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63,2067</w:t>
            </w:r>
          </w:p>
        </w:tc>
        <w:tc>
          <w:tcPr>
            <w:tcW w:w="120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63,2067</w:t>
            </w:r>
          </w:p>
        </w:tc>
        <w:tc>
          <w:tcPr>
            <w:tcW w:w="119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729,4259</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Frais perçus GPMDLR</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2,3300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2,3300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1,2334</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1,2334</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0,6123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1,2334</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10,4695</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Fiscalité</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81,2730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46,1293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-1,3000</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Prix de passage</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1,8973</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281,7512</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Marge Gros apparente</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9,3657</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8,9527</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8,5180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9,3308</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9,1042</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9,0763</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469,1760</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Marge Détail</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12,1598</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128,4127</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IPG</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0,2750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0,2750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 </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Ajustement</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0,0000</w:t>
            </w:r>
          </w:p>
        </w:tc>
        <w:tc>
          <w:tcPr>
            <w:tcW w:w="1198" w:type="dxa"/>
            <w:tcBorders>
              <w:bottom w:val="single" w:sz="4" w:space="0" w:color="000000"/>
              <w:right w:val="single" w:sz="4" w:space="0" w:color="000000"/>
            </w:tcBorders>
            <w:shd w:color="auto" w:fill="auto" w:val="clear"/>
            <w:vAlign w:val="center"/>
          </w:tcPr>
          <w:p>
            <w:pPr>
              <w:pStyle w:val="Normal"/>
              <w:widowControl w:val="false"/>
              <w:jc w:val="left"/>
              <w:rPr>
                <w:rFonts w:ascii="Marianne" w:hAnsi="Marianne" w:cs="Arial"/>
              </w:rPr>
            </w:pPr>
            <w:r>
              <w:rPr>
                <w:rFonts w:cs="Arial" w:ascii="Marianne" w:hAnsi="Marianne"/>
              </w:rPr>
              <w:t>0,0000</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Prix structure</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166,8377</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83,5767</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133,4195</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86,5280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85,6803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86,2735</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1 619,2353</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Arrondi</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0,1623</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0,4233</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-0,4195</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0,4720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0,3197</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-0,2735</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-0,0320</w:t>
            </w:r>
          </w:p>
        </w:tc>
      </w:tr>
      <w:tr>
        <w:trPr>
          <w:trHeight w:val="600" w:hRule="atLeast"/>
        </w:trPr>
        <w:tc>
          <w:tcPr>
            <w:tcW w:w="16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textAlignment w:val="auto"/>
              <w:rPr>
                <w:rFonts w:ascii="Marianne" w:hAnsi="Marianne" w:cs="Arial"/>
              </w:rPr>
            </w:pPr>
            <w:r>
              <w:rPr>
                <w:rFonts w:cs="Arial" w:ascii="Marianne" w:hAnsi="Marianne"/>
              </w:rPr>
              <w:t>Prix Consommateur</w:t>
            </w:r>
          </w:p>
        </w:tc>
        <w:tc>
          <w:tcPr>
            <w:tcW w:w="11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167,0000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84,0000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133,0000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87,0000</w:t>
            </w:r>
          </w:p>
        </w:tc>
        <w:tc>
          <w:tcPr>
            <w:tcW w:w="1199"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86,0000</w:t>
            </w:r>
          </w:p>
        </w:tc>
        <w:tc>
          <w:tcPr>
            <w:tcW w:w="1201"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86,0000</w:t>
            </w:r>
          </w:p>
        </w:tc>
        <w:tc>
          <w:tcPr>
            <w:tcW w:w="1198" w:type="dxa"/>
            <w:tcBorders>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1 619,2033</w:t>
            </w:r>
          </w:p>
        </w:tc>
      </w:tr>
    </w:tbl>
    <w:p>
      <w:pPr>
        <w:pStyle w:val="BlockText"/>
        <w:ind w:left="851" w:right="565" w:hanging="0"/>
        <w:rPr>
          <w:rFonts w:ascii="Marianne" w:hAnsi="Marianne" w:cs="Arial"/>
          <w:sz w:val="22"/>
          <w:szCs w:val="22"/>
        </w:rPr>
      </w:pPr>
      <w:r>
        <w:rPr>
          <w:rFonts w:cs="Arial" w:ascii="Marianne" w:hAnsi="Marianne"/>
          <w:sz w:val="22"/>
          <w:szCs w:val="22"/>
        </w:rPr>
      </w:r>
    </w:p>
    <w:p>
      <w:pPr>
        <w:pStyle w:val="Normal"/>
        <w:suppressAutoHyphens w:val="false"/>
        <w:spacing w:lineRule="auto" w:line="276" w:before="0" w:after="200"/>
        <w:jc w:val="left"/>
        <w:rPr>
          <w:rFonts w:ascii="Marianne" w:hAnsi="Marianne" w:cs="Arial"/>
          <w:sz w:val="22"/>
          <w:szCs w:val="22"/>
        </w:rPr>
      </w:pPr>
      <w:r>
        <w:rPr>
          <w:rFonts w:cs="Arial" w:ascii="Marianne" w:hAnsi="Marianne"/>
          <w:sz w:val="22"/>
          <w:szCs w:val="22"/>
        </w:rPr>
      </w:r>
      <w:r>
        <w:br w:type="page"/>
      </w:r>
    </w:p>
    <w:p>
      <w:pPr>
        <w:pStyle w:val="BlockText"/>
        <w:ind w:left="851" w:right="565" w:hanging="0"/>
        <w:rPr/>
      </w:pPr>
      <w:r>
        <w:rPr>
          <w:rFonts w:cs="Arial" w:ascii="Marianne" w:hAnsi="Marianne"/>
          <w:sz w:val="22"/>
          <w:szCs w:val="22"/>
        </w:rPr>
        <w:t>Les prix des produits pétroliers et gaziers à La Réunion s’établissent de la façon suivante pour le mois de janvier 2024</w:t>
      </w:r>
      <w:r>
        <w:rPr>
          <w:rFonts w:cs="Courier New" w:ascii="Marianne" w:hAnsi="Marianne"/>
          <w:sz w:val="22"/>
          <w:szCs w:val="22"/>
        </w:rPr>
        <w:t xml:space="preserve"> (hors aide des collectivités territoriales pour le gaz) </w:t>
      </w:r>
      <w:r>
        <w:rPr>
          <w:rFonts w:cs="Arial" w:ascii="Marianne" w:hAnsi="Marianne"/>
          <w:sz w:val="22"/>
          <w:szCs w:val="22"/>
        </w:rPr>
        <w:t>:</w:t>
      </w:r>
    </w:p>
    <w:p>
      <w:pPr>
        <w:pStyle w:val="Normal"/>
        <w:ind w:left="851" w:right="849" w:hanging="0"/>
        <w:jc w:val="left"/>
        <w:rPr>
          <w:rFonts w:ascii="Marianne" w:hAnsi="Marianne"/>
        </w:rPr>
      </w:pPr>
      <w:r>
        <w:rPr>
          <w:rFonts w:ascii="Marianne" w:hAnsi="Marianne"/>
        </w:rPr>
        <w:t xml:space="preserve"> </w:t>
      </w:r>
    </w:p>
    <w:tbl>
      <w:tblPr>
        <w:tblW w:w="9279" w:type="dxa"/>
        <w:jc w:val="left"/>
        <w:tblInd w:w="1032" w:type="dxa"/>
        <w:tblLayout w:type="fixed"/>
        <w:tblCellMar>
          <w:top w:w="0" w:type="dxa"/>
          <w:left w:w="70" w:type="dxa"/>
          <w:bottom w:w="0" w:type="dxa"/>
          <w:right w:w="70" w:type="dxa"/>
        </w:tblCellMar>
        <w:tblLook w:firstRow="0" w:noVBand="0" w:lastRow="0" w:firstColumn="0" w:lastColumn="0" w:noHBand="0" w:val="0000"/>
      </w:tblPr>
      <w:tblGrid>
        <w:gridCol w:w="3875"/>
        <w:gridCol w:w="1758"/>
        <w:gridCol w:w="1914"/>
        <w:gridCol w:w="1731"/>
      </w:tblGrid>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Marianne" w:hAnsi="Marianne" w:cs="Arial"/>
              </w:rPr>
            </w:pPr>
            <w:r>
              <w:rPr>
                <w:rFonts w:cs="Arial" w:ascii="Marianne" w:hAnsi="Marianne"/>
              </w:rPr>
              <w:t>Libellé du produit</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Marianne" w:hAnsi="Marianne" w:cs="Arial"/>
                <w:b/>
                <w:bCs/>
              </w:rPr>
            </w:pPr>
            <w:r>
              <w:rPr>
                <w:rFonts w:cs="Arial" w:ascii="Marianne" w:hAnsi="Marianne"/>
                <w:b/>
                <w:bCs/>
              </w:rPr>
              <w:t>1-déc.-23</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1-janv.-24</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Evolution</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Supercarburant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1,71</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1,67</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-2,34%</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Gazole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1,39</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1,33</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-4,32%</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GNR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0,9</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0,87</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-3,33%</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Pétrole lampant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0,9</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0,86</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-4,44%</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Supercarburant destiné aux professionnels de la mer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0,88</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0,84</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-4,55%</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Gazole destiné aux professionnels de la mer (€/litre)</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0,9</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0,86</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-4,44%</w:t>
            </w:r>
          </w:p>
        </w:tc>
      </w:tr>
      <w:tr>
        <w:trPr>
          <w:trHeight w:val="600" w:hRule="atLeast"/>
        </w:trPr>
        <w:tc>
          <w:tcPr>
            <w:tcW w:w="3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Marianne" w:hAnsi="Marianne" w:cs="Arial"/>
              </w:rPr>
            </w:pPr>
            <w:r>
              <w:rPr>
                <w:rFonts w:cs="Arial" w:ascii="Marianne" w:hAnsi="Marianne"/>
              </w:rPr>
              <w:t>Gaz (€/bouteille de 12,5kg)</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rPr>
            </w:pPr>
            <w:r>
              <w:rPr>
                <w:rFonts w:cs="Arial" w:ascii="Marianne" w:hAnsi="Marianne"/>
              </w:rPr>
              <w:t>20,33</w:t>
            </w:r>
          </w:p>
        </w:tc>
        <w:tc>
          <w:tcPr>
            <w:tcW w:w="191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20,24</w:t>
            </w:r>
          </w:p>
        </w:tc>
        <w:tc>
          <w:tcPr>
            <w:tcW w:w="173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Marianne" w:hAnsi="Marianne" w:cs="Arial"/>
                <w:b/>
                <w:bCs/>
              </w:rPr>
            </w:pPr>
            <w:r>
              <w:rPr>
                <w:rFonts w:cs="Arial" w:ascii="Marianne" w:hAnsi="Marianne"/>
                <w:b/>
                <w:bCs/>
              </w:rPr>
              <w:t>-0,44%</w:t>
            </w:r>
          </w:p>
        </w:tc>
      </w:tr>
    </w:tbl>
    <w:p>
      <w:pPr>
        <w:pStyle w:val="Normal"/>
        <w:ind w:left="851" w:right="849" w:hanging="0"/>
        <w:jc w:val="left"/>
        <w:rPr/>
      </w:pPr>
      <w:r>
        <w:rPr/>
      </w:r>
    </w:p>
    <w:p>
      <w:pPr>
        <w:pStyle w:val="Normal"/>
        <w:ind w:left="851" w:right="849" w:hanging="0"/>
        <w:jc w:val="left"/>
        <w:rPr/>
      </w:pPr>
      <w:r>
        <w:rPr/>
      </w:r>
    </w:p>
    <w:p>
      <w:pPr>
        <w:pStyle w:val="BlockText"/>
        <w:rPr>
          <w:rFonts w:ascii="Marianne" w:hAnsi="Marianne" w:cs="Arial"/>
          <w:sz w:val="22"/>
          <w:szCs w:val="22"/>
        </w:rPr>
      </w:pPr>
      <w:r>
        <w:rPr>
          <w:rFonts w:cs="Arial" w:ascii="Marianne" w:hAnsi="Marianne"/>
          <w:sz w:val="22"/>
          <w:szCs w:val="22"/>
        </w:rPr>
      </w:r>
    </w:p>
    <w:p>
      <w:pPr>
        <w:pStyle w:val="BlockText"/>
        <w:rPr>
          <w:rFonts w:ascii="Marianne" w:hAnsi="Marianne" w:cs="Arial"/>
          <w:sz w:val="22"/>
          <w:szCs w:val="22"/>
        </w:rPr>
      </w:pPr>
      <w:r>
        <w:rPr>
          <w:rFonts w:cs="Arial" w:ascii="Marianne" w:hAnsi="Marianne"/>
          <w:sz w:val="22"/>
          <w:szCs w:val="22"/>
        </w:rPr>
      </w:r>
    </w:p>
    <w:p>
      <w:pPr>
        <w:pStyle w:val="Rien"/>
        <w:tabs>
          <w:tab w:val="clear" w:pos="709"/>
          <w:tab w:val="left" w:pos="8580" w:leader="none"/>
          <w:tab w:val="right" w:pos="10064" w:leader="none"/>
          <w:tab w:val="left" w:pos="10348" w:leader="none"/>
        </w:tabs>
        <w:ind w:right="991" w:hanging="0"/>
        <w:jc w:val="right"/>
        <w:rPr>
          <w:rFonts w:ascii="Marianne" w:hAnsi="Marianne" w:cs="Arial"/>
          <w:bCs/>
          <w:szCs w:val="22"/>
        </w:rPr>
      </w:pPr>
      <w:r>
        <w:rPr>
          <w:rFonts w:cs="Arial" w:ascii="Marianne" w:hAnsi="Marianne"/>
          <w:bCs/>
          <w:szCs w:val="22"/>
        </w:rPr>
        <w:t>P/La directrice,</w:t>
      </w:r>
    </w:p>
    <w:p>
      <w:pPr>
        <w:pStyle w:val="Normal"/>
        <w:ind w:left="708" w:right="990" w:hanging="0"/>
        <w:jc w:val="right"/>
        <w:rPr>
          <w:rFonts w:ascii="Marianne" w:hAnsi="Marianne" w:cs="Arial"/>
          <w:sz w:val="22"/>
          <w:szCs w:val="22"/>
        </w:rPr>
      </w:pPr>
      <w:r>
        <w:rPr>
          <w:rFonts w:cs="Arial" w:ascii="Marianne" w:hAnsi="Marianne"/>
          <w:sz w:val="22"/>
          <w:szCs w:val="22"/>
        </w:rPr>
        <w:t>Le directeur-adjoint</w:t>
      </w:r>
    </w:p>
    <w:p>
      <w:pPr>
        <w:pStyle w:val="Normal"/>
        <w:ind w:left="708" w:right="990" w:hanging="0"/>
        <w:jc w:val="right"/>
        <w:rPr>
          <w:rFonts w:ascii="Marianne" w:hAnsi="Marianne" w:cs="Arial"/>
          <w:sz w:val="22"/>
          <w:szCs w:val="22"/>
        </w:rPr>
      </w:pPr>
      <w:r>
        <w:rPr>
          <w:rFonts w:cs="Arial" w:ascii="Marianne" w:hAnsi="Marianne"/>
          <w:sz w:val="22"/>
          <w:szCs w:val="22"/>
        </w:rPr>
      </w:r>
    </w:p>
    <w:p>
      <w:pPr>
        <w:pStyle w:val="Normal"/>
        <w:ind w:left="708" w:right="990" w:hanging="0"/>
        <w:jc w:val="right"/>
        <w:rPr>
          <w:rFonts w:ascii="Marianne" w:hAnsi="Marianne" w:cs="Arial"/>
          <w:sz w:val="22"/>
          <w:szCs w:val="22"/>
        </w:rPr>
      </w:pPr>
      <w:r>
        <w:rPr>
          <w:rFonts w:cs="Arial" w:ascii="Marianne" w:hAnsi="Marianne"/>
          <w:sz w:val="22"/>
          <w:szCs w:val="22"/>
        </w:rPr>
      </w:r>
    </w:p>
    <w:p>
      <w:pPr>
        <w:pStyle w:val="Normal"/>
        <w:ind w:left="708" w:right="990" w:hanging="0"/>
        <w:jc w:val="right"/>
        <w:rPr/>
      </w:pPr>
      <w:r>
        <w:rPr>
          <w:rFonts w:cs="Arial" w:ascii="Marianne" w:hAnsi="Marianne"/>
          <w:sz w:val="22"/>
          <w:szCs w:val="22"/>
        </w:rPr>
        <w:t>Patrick CHAUCHON</w:t>
      </w:r>
    </w:p>
    <w:sectPr>
      <w:headerReference w:type="first" r:id="rId2"/>
      <w:footerReference w:type="default" r:id="rId3"/>
      <w:footerReference w:type="first" r:id="rId4"/>
      <w:footnotePr>
        <w:numFmt w:val="decimal"/>
      </w:footnotePr>
      <w:type w:val="nextPage"/>
      <w:pgSz w:w="11906" w:h="16838"/>
      <w:pgMar w:left="284" w:right="567" w:gutter="0" w:header="284" w:top="993" w:footer="261" w:bottom="709"/>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aramond LightCondensed">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Marianne">
    <w:charset w:val="00"/>
    <w:family w:val="roman"/>
    <w:pitch w:val="variable"/>
  </w:font>
  <w:font w:name="Marianne">
    <w:charset w:val="01"/>
    <w:family w:val="moder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rStyle w:val="Pagenumber"/>
        <w:rFonts w:ascii="Marianne" w:hAnsi="Marianne"/>
      </w:rPr>
      <w:fldChar w:fldCharType="begin"/>
    </w:r>
    <w:r>
      <w:rPr>
        <w:rStyle w:val="Pagenumber"/>
        <w:rFonts w:ascii="Marianne" w:hAnsi="Marianne"/>
      </w:rPr>
      <w:instrText xml:space="preserve"> PAGE </w:instrText>
    </w:r>
    <w:r>
      <w:rPr>
        <w:rStyle w:val="Pagenumber"/>
        <w:rFonts w:ascii="Marianne" w:hAnsi="Marianne"/>
      </w:rPr>
      <w:fldChar w:fldCharType="separate"/>
    </w:r>
    <w:r>
      <w:rPr>
        <w:rStyle w:val="Pagenumber"/>
        <w:rFonts w:ascii="Marianne" w:hAnsi="Marianne"/>
      </w:rPr>
      <w:t>8</w:t>
    </w:r>
    <w:r>
      <w:rPr>
        <w:rStyle w:val="Pagenumber"/>
        <w:rFonts w:ascii="Marianne" w:hAnsi="Mariann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1</w:t>
    </w:r>
    <w:r>
      <w:rPr/>
      <w:fldChar w:fldCharType="end"/>
    </w:r>
  </w:p>
  <w:p>
    <w:pPr>
      <w:pStyle w:val="Pieddepage"/>
      <w:ind w:left="-709" w:right="-426" w:hanging="0"/>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ind w:left="1134" w:hanging="0"/>
        <w:rPr/>
      </w:pPr>
      <w:r>
        <w:rPr>
          <w:rStyle w:val="Caractresdenotedebasdepage"/>
        </w:rPr>
        <w:footnoteRef/>
      </w:r>
      <w:r>
        <w:rPr>
          <w:rFonts w:ascii="Marianne" w:hAnsi="Marianne"/>
          <w:sz w:val="16"/>
          <w:szCs w:val="16"/>
        </w:rPr>
        <w:t xml:space="preserve"> </w:t>
      </w:r>
      <w:r>
        <w:rPr>
          <w:rFonts w:ascii="Marianne" w:hAnsi="Marianne"/>
          <w:sz w:val="16"/>
          <w:szCs w:val="16"/>
        </w:rPr>
        <w:t>D</w:t>
      </w:r>
      <w:r>
        <w:rPr>
          <w:rFonts w:cs="Arial" w:ascii="Marianne" w:hAnsi="Marianne"/>
          <w:sz w:val="16"/>
          <w:szCs w:val="16"/>
        </w:rPr>
        <w:t>écision de l’assemblée plénière du Conseil Régional du 19 décembre 2018</w:t>
      </w:r>
    </w:p>
  </w:footnote>
  <w:footnote w:id="3">
    <w:p>
      <w:pPr>
        <w:pStyle w:val="Footnote"/>
        <w:ind w:left="426" w:firstLine="708"/>
        <w:rPr/>
      </w:pPr>
      <w:r>
        <w:rPr>
          <w:rStyle w:val="Caractresdenotedebasdepage"/>
        </w:rPr>
        <w:footnoteRef/>
      </w:r>
      <w:r>
        <w:rPr>
          <w:rFonts w:ascii="Marianne" w:hAnsi="Marianne"/>
          <w:sz w:val="16"/>
          <w:szCs w:val="16"/>
        </w:rPr>
        <w:t xml:space="preserve"> </w:t>
      </w:r>
      <w:r>
        <w:rPr>
          <w:rFonts w:ascii="Marianne" w:hAnsi="Marianne"/>
          <w:sz w:val="16"/>
          <w:szCs w:val="16"/>
        </w:rPr>
        <w:t>Décret n° 2022-1368 du 27 octobre 2022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140" w:hanging="0"/>
      <w:jc w:val="center"/>
      <w:rPr/>
    </w:pPr>
    <w:r>
      <w:rPr/>
      <w:drawing>
        <wp:anchor behindDoc="1" distT="0" distB="0" distL="114300" distR="114300" simplePos="0" locked="0" layoutInCell="0" allowOverlap="1" relativeHeight="2">
          <wp:simplePos x="0" y="0"/>
          <wp:positionH relativeFrom="column">
            <wp:posOffset>145415</wp:posOffset>
          </wp:positionH>
          <wp:positionV relativeFrom="paragraph">
            <wp:posOffset>74295</wp:posOffset>
          </wp:positionV>
          <wp:extent cx="1522730" cy="1533525"/>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522730" cy="1533525"/>
                  </a:xfrm>
                  <a:prstGeom prst="rect">
                    <a:avLst/>
                  </a:prstGeom>
                </pic:spPr>
              </pic:pic>
            </a:graphicData>
          </a:graphic>
        </wp:anchor>
      </w:drawing>
    </w:r>
  </w:p>
  <w:p>
    <w:pPr>
      <w:pStyle w:val="En-tte"/>
      <w:ind w:right="282" w:hanging="0"/>
      <w:jc w:val="right"/>
      <w:rPr/>
    </w:pPr>
    <w:r>
      <w:rPr>
        <w:rFonts w:eastAsia="Arial" w:ascii="Marianne" w:hAnsi="Marianne"/>
        <w:b/>
        <w:bCs/>
        <w:sz w:val="28"/>
        <w:szCs w:val="28"/>
      </w:rPr>
      <w:t>Direction</w:t>
      <w:br/>
      <w:t>de l'économie, de l'emploi,</w:t>
      <w:br/>
      <w:t>du travail et des solidarités</w:t>
    </w:r>
  </w:p>
  <w:p>
    <w:pPr>
      <w:pStyle w:val="Normal"/>
      <w:spacing w:before="40" w:after="200"/>
      <w:ind w:left="-851" w:right="-849" w:hanging="0"/>
      <w:jc w:val="center"/>
      <w:rPr>
        <w:smallCaps/>
        <w:sz w:val="22"/>
        <w:szCs w:val="22"/>
      </w:rPr>
    </w:pPr>
    <w:r>
      <w:rPr>
        <w:smallCaps/>
        <w:sz w:val="22"/>
        <w:szCs w:val="22"/>
      </w:rPr>
    </w:r>
  </w:p>
  <w:p>
    <w:pPr>
      <w:pStyle w:val="Normal"/>
      <w:jc w:val="center"/>
      <w:rPr>
        <w:smallCaps/>
        <w:color w:val="FF0000"/>
        <w:sz w:val="22"/>
        <w:szCs w:val="22"/>
      </w:rPr>
    </w:pPr>
    <w:r>
      <w:rPr>
        <w:smallCaps/>
        <w:color w:val="FF0000"/>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571" w:hanging="360"/>
      </w:pPr>
      <w:rPr>
        <w:rFonts w:ascii="Marianne" w:hAnsi="Marianne" w:cs="Marianne" w:hint="default"/>
      </w:rPr>
    </w:lvl>
    <w:lvl w:ilvl="1">
      <w:start w:val="0"/>
      <w:numFmt w:val="bullet"/>
      <w:lvlText w:val="o"/>
      <w:lvlJc w:val="left"/>
      <w:pPr>
        <w:tabs>
          <w:tab w:val="num" w:pos="0"/>
        </w:tabs>
        <w:ind w:left="2291" w:hanging="360"/>
      </w:pPr>
      <w:rPr>
        <w:rFonts w:ascii="Courier New" w:hAnsi="Courier New" w:cs="Courier New" w:hint="default"/>
      </w:rPr>
    </w:lvl>
    <w:lvl w:ilvl="2">
      <w:start w:val="0"/>
      <w:numFmt w:val="bullet"/>
      <w:lvlText w:val=""/>
      <w:lvlJc w:val="left"/>
      <w:pPr>
        <w:tabs>
          <w:tab w:val="num" w:pos="0"/>
        </w:tabs>
        <w:ind w:left="3011" w:hanging="360"/>
      </w:pPr>
      <w:rPr>
        <w:rFonts w:ascii="Wingdings" w:hAnsi="Wingdings" w:cs="Wingdings" w:hint="default"/>
      </w:rPr>
    </w:lvl>
    <w:lvl w:ilvl="3">
      <w:start w:val="0"/>
      <w:numFmt w:val="bullet"/>
      <w:lvlText w:val=""/>
      <w:lvlJc w:val="left"/>
      <w:pPr>
        <w:tabs>
          <w:tab w:val="num" w:pos="0"/>
        </w:tabs>
        <w:ind w:left="3731" w:hanging="360"/>
      </w:pPr>
      <w:rPr>
        <w:rFonts w:ascii="Symbol" w:hAnsi="Symbol" w:cs="Symbol" w:hint="default"/>
      </w:rPr>
    </w:lvl>
    <w:lvl w:ilvl="4">
      <w:start w:val="0"/>
      <w:numFmt w:val="bullet"/>
      <w:lvlText w:val="o"/>
      <w:lvlJc w:val="left"/>
      <w:pPr>
        <w:tabs>
          <w:tab w:val="num" w:pos="0"/>
        </w:tabs>
        <w:ind w:left="4451" w:hanging="360"/>
      </w:pPr>
      <w:rPr>
        <w:rFonts w:ascii="Courier New" w:hAnsi="Courier New" w:cs="Courier New" w:hint="default"/>
      </w:rPr>
    </w:lvl>
    <w:lvl w:ilvl="5">
      <w:start w:val="0"/>
      <w:numFmt w:val="bullet"/>
      <w:lvlText w:val=""/>
      <w:lvlJc w:val="left"/>
      <w:pPr>
        <w:tabs>
          <w:tab w:val="num" w:pos="0"/>
        </w:tabs>
        <w:ind w:left="5171" w:hanging="360"/>
      </w:pPr>
      <w:rPr>
        <w:rFonts w:ascii="Wingdings" w:hAnsi="Wingdings" w:cs="Wingdings" w:hint="default"/>
      </w:rPr>
    </w:lvl>
    <w:lvl w:ilvl="6">
      <w:start w:val="0"/>
      <w:numFmt w:val="bullet"/>
      <w:lvlText w:val=""/>
      <w:lvlJc w:val="left"/>
      <w:pPr>
        <w:tabs>
          <w:tab w:val="num" w:pos="0"/>
        </w:tabs>
        <w:ind w:left="5891" w:hanging="360"/>
      </w:pPr>
      <w:rPr>
        <w:rFonts w:ascii="Symbol" w:hAnsi="Symbol" w:cs="Symbol" w:hint="default"/>
      </w:rPr>
    </w:lvl>
    <w:lvl w:ilvl="7">
      <w:start w:val="0"/>
      <w:numFmt w:val="bullet"/>
      <w:lvlText w:val="o"/>
      <w:lvlJc w:val="left"/>
      <w:pPr>
        <w:tabs>
          <w:tab w:val="num" w:pos="0"/>
        </w:tabs>
        <w:ind w:left="6611" w:hanging="360"/>
      </w:pPr>
      <w:rPr>
        <w:rFonts w:ascii="Courier New" w:hAnsi="Courier New" w:cs="Courier New" w:hint="default"/>
      </w:rPr>
    </w:lvl>
    <w:lvl w:ilvl="8">
      <w:start w:val="0"/>
      <w:numFmt w:val="bullet"/>
      <w:lvlText w:val=""/>
      <w:lvlJc w:val="left"/>
      <w:pPr>
        <w:tabs>
          <w:tab w:val="num" w:pos="0"/>
        </w:tabs>
        <w:ind w:left="7331" w:hanging="360"/>
      </w:pPr>
      <w:rPr>
        <w:rFonts w:ascii="Wingdings" w:hAnsi="Wingdings" w:cs="Wingdings" w:hint="default"/>
      </w:rPr>
    </w:lvl>
  </w:abstractNum>
  <w:abstractNum w:abstractNumId="2">
    <w:lvl w:ilvl="0">
      <w:start w:val="1"/>
      <w:numFmt w:val="bullet"/>
      <w:lvlText w:val=""/>
      <w:lvlJc w:val="left"/>
      <w:pPr>
        <w:tabs>
          <w:tab w:val="num" w:pos="0"/>
        </w:tabs>
        <w:ind w:left="1571" w:hanging="360"/>
      </w:pPr>
      <w:rPr>
        <w:rFonts w:ascii="Wingdings" w:hAnsi="Wingdings" w:cs="Wingdings" w:hint="default"/>
        <w:rFonts w:eastAsiaTheme="minorHAnsi"/>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jc w:val="both"/>
      <w:textAlignment w:val="baseline"/>
    </w:pPr>
    <w:rPr>
      <w:rFonts w:ascii="Times New Roman" w:hAnsi="Times New Roman" w:eastAsia="Times New Roman" w:cs="Times New Roman"/>
      <w:color w:val="auto"/>
      <w:kern w:val="0"/>
      <w:sz w:val="20"/>
      <w:szCs w:val="20"/>
      <w:lang w:eastAsia="fr-FR" w:val="fr-FR" w:bidi="ar-SA"/>
    </w:rPr>
  </w:style>
  <w:style w:type="paragraph" w:styleId="Titre1">
    <w:name w:val="Heading 1"/>
    <w:basedOn w:val="Normal"/>
    <w:next w:val="Normal"/>
    <w:qFormat/>
    <w:pPr>
      <w:keepNext w:val="true"/>
      <w:spacing w:before="240" w:after="60"/>
      <w:outlineLvl w:val="0"/>
    </w:pPr>
    <w:rPr>
      <w:rFonts w:ascii="Arial" w:hAnsi="Arial"/>
      <w:b/>
      <w:kern w:val="2"/>
      <w:sz w:val="16"/>
    </w:rPr>
  </w:style>
  <w:style w:type="paragraph" w:styleId="Titre2">
    <w:name w:val="Heading 2"/>
    <w:basedOn w:val="Normal"/>
    <w:next w:val="Normal"/>
    <w:qFormat/>
    <w:pPr>
      <w:keepNext w:val="true"/>
      <w:spacing w:before="240" w:after="60"/>
      <w:outlineLvl w:val="1"/>
    </w:pPr>
    <w:rPr>
      <w:rFonts w:ascii="Arial" w:hAnsi="Arial"/>
      <w:b/>
      <w:i/>
      <w:sz w:val="24"/>
    </w:rPr>
  </w:style>
  <w:style w:type="paragraph" w:styleId="Titre3">
    <w:name w:val="Heading 3"/>
    <w:basedOn w:val="Normal"/>
    <w:next w:val="Normal"/>
    <w:qFormat/>
    <w:pPr>
      <w:keepNext w:val="true"/>
      <w:spacing w:lineRule="exact" w:line="280" w:before="60" w:after="200"/>
      <w:outlineLvl w:val="2"/>
    </w:pPr>
    <w:rPr>
      <w:rFonts w:ascii="Garamond LightCondensed" w:hAnsi="Garamond LightCondensed"/>
      <w:spacing w:val="20"/>
      <w:sz w:val="24"/>
    </w:rPr>
  </w:style>
  <w:style w:type="paragraph" w:styleId="Titre4">
    <w:name w:val="Heading 4"/>
    <w:basedOn w:val="Normal"/>
    <w:next w:val="Normal"/>
    <w:qFormat/>
    <w:pPr>
      <w:keepNext w:val="true"/>
      <w:jc w:val="center"/>
      <w:outlineLvl w:val="3"/>
    </w:pPr>
    <w:rPr>
      <w:b/>
      <w:bCs/>
    </w:rPr>
  </w:style>
  <w:style w:type="paragraph" w:styleId="Titre5">
    <w:name w:val="Heading 5"/>
    <w:basedOn w:val="Normal"/>
    <w:next w:val="Normal"/>
    <w:qFormat/>
    <w:pPr>
      <w:keepNext w:val="true"/>
      <w:ind w:left="1560" w:hanging="0"/>
      <w:outlineLvl w:val="4"/>
    </w:pPr>
    <w:rPr>
      <w:sz w:val="2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val="true"/>
      <w:tabs>
        <w:tab w:val="clear" w:pos="709"/>
        <w:tab w:val="left" w:pos="1134" w:leader="none"/>
      </w:tabs>
      <w:ind w:left="72" w:right="2" w:hanging="0"/>
      <w:jc w:val="right"/>
      <w:outlineLvl w:val="6"/>
    </w:pPr>
    <w:rPr>
      <w:rFonts w:ascii="Arial" w:hAnsi="Arial" w:cs="Arial"/>
      <w:b/>
      <w:bCs/>
      <w:sz w:val="16"/>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qFormat/>
    <w:rPr>
      <w:rFonts w:ascii="Arial" w:hAnsi="Arial" w:eastAsia="Times New Roman" w:cs="Times New Roman"/>
      <w:b/>
      <w:kern w:val="2"/>
      <w:sz w:val="16"/>
      <w:szCs w:val="20"/>
      <w:lang w:eastAsia="fr-FR"/>
    </w:rPr>
  </w:style>
  <w:style w:type="character" w:styleId="Titre2Car" w:customStyle="1">
    <w:name w:val="Titre 2 Car"/>
    <w:basedOn w:val="DefaultParagraphFont"/>
    <w:qFormat/>
    <w:rPr>
      <w:rFonts w:ascii="Arial" w:hAnsi="Arial" w:eastAsia="Times New Roman" w:cs="Times New Roman"/>
      <w:b/>
      <w:i/>
      <w:sz w:val="24"/>
      <w:szCs w:val="20"/>
      <w:lang w:eastAsia="fr-FR"/>
    </w:rPr>
  </w:style>
  <w:style w:type="character" w:styleId="Titre3Car" w:customStyle="1">
    <w:name w:val="Titre 3 Car"/>
    <w:basedOn w:val="DefaultParagraphFont"/>
    <w:qFormat/>
    <w:rPr>
      <w:rFonts w:ascii="Garamond LightCondensed" w:hAnsi="Garamond LightCondensed" w:eastAsia="Times New Roman" w:cs="Times New Roman"/>
      <w:spacing w:val="20"/>
      <w:sz w:val="24"/>
      <w:szCs w:val="20"/>
      <w:lang w:eastAsia="fr-FR"/>
    </w:rPr>
  </w:style>
  <w:style w:type="character" w:styleId="Titre4Car" w:customStyle="1">
    <w:name w:val="Titre 4 Car"/>
    <w:basedOn w:val="DefaultParagraphFont"/>
    <w:qFormat/>
    <w:rPr>
      <w:rFonts w:ascii="Times New Roman" w:hAnsi="Times New Roman" w:eastAsia="Times New Roman" w:cs="Times New Roman"/>
      <w:b/>
      <w:bCs/>
      <w:sz w:val="20"/>
      <w:szCs w:val="20"/>
      <w:lang w:eastAsia="fr-FR"/>
    </w:rPr>
  </w:style>
  <w:style w:type="character" w:styleId="Titre5Car" w:customStyle="1">
    <w:name w:val="Titre 5 Car"/>
    <w:basedOn w:val="DefaultParagraphFont"/>
    <w:qFormat/>
    <w:rPr>
      <w:rFonts w:ascii="Times New Roman" w:hAnsi="Times New Roman" w:eastAsia="Times New Roman" w:cs="Times New Roman"/>
      <w:sz w:val="24"/>
      <w:szCs w:val="20"/>
      <w:lang w:eastAsia="fr-FR"/>
    </w:rPr>
  </w:style>
  <w:style w:type="character" w:styleId="Titre6Car" w:customStyle="1">
    <w:name w:val="Titre 6 Car"/>
    <w:basedOn w:val="DefaultParagraphFont"/>
    <w:qFormat/>
    <w:rPr>
      <w:rFonts w:ascii="Times New Roman" w:hAnsi="Times New Roman" w:eastAsia="Times New Roman" w:cs="Times New Roman"/>
      <w:b/>
      <w:bCs/>
      <w:lang w:eastAsia="fr-FR"/>
    </w:rPr>
  </w:style>
  <w:style w:type="character" w:styleId="Titre7Car" w:customStyle="1">
    <w:name w:val="Titre 7 Car"/>
    <w:basedOn w:val="DefaultParagraphFont"/>
    <w:qFormat/>
    <w:rPr>
      <w:rFonts w:ascii="Arial" w:hAnsi="Arial" w:eastAsia="Times New Roman" w:cs="Arial"/>
      <w:b/>
      <w:bCs/>
      <w:sz w:val="16"/>
      <w:szCs w:val="24"/>
      <w:lang w:eastAsia="fr-FR"/>
    </w:rPr>
  </w:style>
  <w:style w:type="character" w:styleId="NotedebasdepageCar" w:customStyle="1">
    <w:name w:val="Note de bas de page Car"/>
    <w:basedOn w:val="DefaultParagraphFont"/>
    <w:qFormat/>
    <w:rPr>
      <w:rFonts w:ascii="Times New Roman" w:hAnsi="Times New Roman" w:eastAsia="Times New Roman" w:cs="Times New Roman"/>
      <w:sz w:val="20"/>
      <w:szCs w:val="20"/>
      <w:lang w:eastAsia="fr-FR"/>
    </w:rPr>
  </w:style>
  <w:style w:type="character" w:styleId="LienInternet">
    <w:name w:val="Hyperlink"/>
    <w:rPr>
      <w:rFonts w:ascii="Arial" w:hAnsi="Arial"/>
      <w:color w:val="0000FF"/>
      <w:sz w:val="13"/>
      <w:u w:val="single"/>
    </w:rPr>
  </w:style>
  <w:style w:type="character" w:styleId="Strong">
    <w:name w:val="Strong"/>
    <w:qFormat/>
    <w:rPr>
      <w:b/>
      <w:bCs/>
    </w:rPr>
  </w:style>
  <w:style w:type="character" w:styleId="En-tteCar" w:customStyle="1">
    <w:name w:val="En-tête Car"/>
    <w:basedOn w:val="DefaultParagraphFont"/>
    <w:qFormat/>
    <w:rPr>
      <w:rFonts w:ascii="Times New Roman" w:hAnsi="Times New Roman" w:eastAsia="Times New Roman" w:cs="Times New Roman"/>
      <w:sz w:val="20"/>
      <w:szCs w:val="20"/>
      <w:lang w:eastAsia="fr-FR"/>
    </w:rPr>
  </w:style>
  <w:style w:type="character" w:styleId="LienInternetvisit">
    <w:name w:val="FollowedHyperlink"/>
    <w:rPr>
      <w:color w:val="800080"/>
      <w:u w:val="single"/>
    </w:rPr>
  </w:style>
  <w:style w:type="character" w:styleId="PieddepageCar" w:customStyle="1">
    <w:name w:val="Pied de page Car"/>
    <w:basedOn w:val="DefaultParagraphFont"/>
    <w:qFormat/>
    <w:rPr>
      <w:rFonts w:ascii="Times New Roman" w:hAnsi="Times New Roman" w:eastAsia="Times New Roman" w:cs="Times New Roman"/>
      <w:sz w:val="20"/>
      <w:szCs w:val="20"/>
      <w:lang w:eastAsia="fr-FR"/>
    </w:rPr>
  </w:style>
  <w:style w:type="character" w:styleId="ExplorateurdedocumentsCar" w:customStyle="1">
    <w:name w:val="Explorateur de documents Car"/>
    <w:basedOn w:val="DefaultParagraphFont"/>
    <w:qFormat/>
    <w:rPr>
      <w:rFonts w:ascii="Tahoma" w:hAnsi="Tahoma" w:eastAsia="Times New Roman" w:cs="Tahoma"/>
      <w:sz w:val="20"/>
      <w:szCs w:val="20"/>
      <w:shd w:fill="000080" w:val="clear"/>
      <w:lang w:eastAsia="fr-FR"/>
    </w:rPr>
  </w:style>
  <w:style w:type="character" w:styleId="Pagenumber">
    <w:name w:val="page number"/>
    <w:basedOn w:val="DefaultParagraphFont"/>
    <w:qFormat/>
    <w:rPr/>
  </w:style>
  <w:style w:type="character" w:styleId="Affairesuivie8ptCarCar" w:customStyle="1">
    <w:name w:val="affaire suivie + 8 pt Car Car"/>
    <w:qFormat/>
    <w:rPr>
      <w:spacing w:val="12"/>
      <w:sz w:val="16"/>
      <w:lang w:val="fr-FR" w:eastAsia="fr-FR" w:bidi="ar-SA"/>
    </w:rPr>
  </w:style>
  <w:style w:type="character" w:styleId="Styleaffairesuivie8ptCar" w:customStyle="1">
    <w:name w:val="Style affaire suivie + 8 pt Car"/>
    <w:qFormat/>
    <w:rPr>
      <w:spacing w:val="12"/>
      <w:sz w:val="16"/>
      <w:szCs w:val="16"/>
      <w:lang w:val="fr-FR" w:eastAsia="fr-FR" w:bidi="ar-SA"/>
    </w:rPr>
  </w:style>
  <w:style w:type="character" w:styleId="TextedebullesCar" w:customStyle="1">
    <w:name w:val="Texte de bulles Car"/>
    <w:basedOn w:val="DefaultParagraphFont"/>
    <w:qFormat/>
    <w:rPr>
      <w:rFonts w:ascii="Tahoma" w:hAnsi="Tahoma" w:eastAsia="Times New Roman" w:cs="Tahoma"/>
      <w:sz w:val="16"/>
      <w:szCs w:val="16"/>
      <w:lang w:eastAsia="fr-FR"/>
    </w:rPr>
  </w:style>
  <w:style w:type="character" w:styleId="Accentuation">
    <w:name w:val="Emphasis"/>
    <w:uiPriority w:val="20"/>
    <w:qFormat/>
    <w:rPr>
      <w:i/>
      <w:iCs/>
    </w:rPr>
  </w:style>
  <w:style w:type="character" w:styleId="RetraitcorpsdetexteCar" w:customStyle="1">
    <w:name w:val="Retrait corps de texte Car"/>
    <w:basedOn w:val="DefaultParagraphFont"/>
    <w:qFormat/>
    <w:rPr>
      <w:rFonts w:ascii="Times New Roman" w:hAnsi="Times New Roman" w:eastAsia="Times New Roman" w:cs="Times New Roman"/>
      <w:sz w:val="24"/>
      <w:szCs w:val="20"/>
      <w:lang w:eastAsia="fr-FR"/>
    </w:rPr>
  </w:style>
  <w:style w:type="character" w:styleId="Caractresdenotedebasdepage">
    <w:name w:val="Caractères de note de bas de page"/>
    <w:uiPriority w:val="99"/>
    <w:qFormat/>
    <w:rPr>
      <w:vertAlign w:val="superscript"/>
    </w:rPr>
  </w:style>
  <w:style w:type="character" w:styleId="Ancredenotedebasdepage" w:customStyle="1">
    <w:name w:val="Footnote Reference"/>
    <w:rPr>
      <w:vertAlign w:val="superscript"/>
    </w:rPr>
  </w:style>
  <w:style w:type="character" w:styleId="NotedefinCar" w:customStyle="1">
    <w:name w:val="Note de fin Car"/>
    <w:basedOn w:val="DefaultParagraphFont"/>
    <w:qFormat/>
    <w:rPr>
      <w:rFonts w:ascii="Times New Roman" w:hAnsi="Times New Roman" w:eastAsia="Times New Roman" w:cs="Times New Roman"/>
      <w:sz w:val="20"/>
      <w:szCs w:val="20"/>
      <w:lang w:eastAsia="fr-FR"/>
    </w:rPr>
  </w:style>
  <w:style w:type="character" w:styleId="Caractresdenotedefin">
    <w:name w:val="Caractères de note de fin"/>
    <w:qFormat/>
    <w:rPr>
      <w:vertAlign w:val="superscript"/>
    </w:rPr>
  </w:style>
  <w:style w:type="character" w:styleId="Ancredenotedefin" w:customStyle="1">
    <w:name w:val="Endnote Reference"/>
    <w:rPr>
      <w:vertAlign w:val="superscript"/>
    </w:rPr>
  </w:style>
  <w:style w:type="character" w:styleId="FootnoteSymbol" w:customStyle="1">
    <w:name w:val="Footnote Symbol"/>
    <w:qFormat/>
    <w:rPr/>
  </w:style>
  <w:style w:type="character" w:styleId="EndnoteSymbol" w:customStyle="1">
    <w:name w:val="Endnote Symbol"/>
    <w:qFormat/>
    <w:rPr/>
  </w:style>
  <w:style w:type="character" w:styleId="Internetlink" w:customStyle="1">
    <w:name w:val="Internet link"/>
    <w:qFormat/>
    <w:rPr>
      <w:color w:val="000080"/>
      <w:u w:val="single"/>
    </w:rPr>
  </w:style>
  <w:style w:type="character" w:styleId="VisitedInternetLink" w:customStyle="1">
    <w:name w:val="Visited Internet Link"/>
    <w:qFormat/>
    <w:rPr>
      <w:color w:val="800000"/>
      <w:u w:val="single"/>
    </w:rPr>
  </w:style>
  <w:style w:type="character" w:styleId="NotedebasdepageCar1" w:customStyle="1">
    <w:name w:val="Note de bas de page Car1"/>
    <w:basedOn w:val="DefaultParagraphFont"/>
    <w:link w:val="Footnote"/>
    <w:uiPriority w:val="99"/>
    <w:semiHidden/>
    <w:qFormat/>
    <w:rsid w:val="008929ca"/>
    <w:rPr>
      <w:rFonts w:ascii="Times New Roman" w:hAnsi="Times New Roman" w:eastAsia="Times New Roman"/>
      <w:sz w:val="20"/>
      <w:szCs w:val="20"/>
      <w:lang w:eastAsia="fr-FR"/>
    </w:rPr>
  </w:style>
  <w:style w:type="character" w:styleId="CorpsdetexteCar" w:customStyle="1">
    <w:name w:val="Corps de texte Car"/>
    <w:basedOn w:val="DefaultParagraphFont"/>
    <w:link w:val="Textbody"/>
    <w:uiPriority w:val="99"/>
    <w:semiHidden/>
    <w:qFormat/>
    <w:rsid w:val="00e77819"/>
    <w:rPr>
      <w:rFonts w:ascii="Times New Roman" w:hAnsi="Times New Roman" w:eastAsia="Times New Roman"/>
      <w:sz w:val="20"/>
      <w:szCs w:val="20"/>
      <w:lang w:eastAsia="fr-FR"/>
    </w:rPr>
  </w:style>
  <w:style w:type="paragraph" w:styleId="Titre" w:customStyle="1">
    <w:name w:val="Titre"/>
    <w:basedOn w:val="Standard"/>
    <w:next w:val="Textbody"/>
    <w:qFormat/>
    <w:pPr>
      <w:keepNext w:val="true"/>
      <w:spacing w:before="240" w:after="120"/>
    </w:pPr>
    <w:rPr>
      <w:rFonts w:ascii="Liberation Sans" w:hAnsi="Liberation Sans" w:eastAsia="MS Gothic" w:cs="Tahoma"/>
      <w:sz w:val="28"/>
      <w:szCs w:val="28"/>
    </w:rPr>
  </w:style>
  <w:style w:type="paragraph" w:styleId="Corpsdetexte">
    <w:name w:val="Body Text"/>
    <w:basedOn w:val="Normal"/>
    <w:link w:val="CorpsdetexteCar"/>
    <w:uiPriority w:val="99"/>
    <w:semiHidden/>
    <w:unhideWhenUsed/>
    <w:rsid w:val="00e77819"/>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pPr>
      <w:widowControl/>
      <w:bidi w:val="0"/>
      <w:spacing w:lineRule="auto" w:line="276" w:before="0" w:after="200"/>
      <w:jc w:val="left"/>
      <w:textAlignment w:val="baseline"/>
    </w:pPr>
    <w:rPr>
      <w:rFonts w:ascii="Calibri" w:hAnsi="Calibri" w:eastAsia="Calibri" w:cs="Times New Roman"/>
      <w:color w:val="auto"/>
      <w:kern w:val="0"/>
      <w:sz w:val="22"/>
      <w:szCs w:val="22"/>
      <w:lang w:val="fr-FR" w:eastAsia="en-US" w:bidi="ar-SA"/>
    </w:rPr>
  </w:style>
  <w:style w:type="paragraph" w:styleId="Textbody" w:customStyle="1">
    <w:name w:val="Text body"/>
    <w:basedOn w:val="Standard"/>
    <w:qFormat/>
    <w:pPr>
      <w:spacing w:before="0" w:after="140"/>
    </w:pPr>
    <w:rPr/>
  </w:style>
  <w:style w:type="paragraph" w:styleId="Adresse6" w:customStyle="1">
    <w:name w:val="adresse + 6"/>
    <w:qFormat/>
    <w:pPr>
      <w:widowControl/>
      <w:suppressAutoHyphens w:val="true"/>
      <w:bidi w:val="0"/>
      <w:spacing w:lineRule="exact" w:line="230" w:before="0" w:after="0"/>
      <w:jc w:val="left"/>
      <w:textAlignment w:val="baseline"/>
    </w:pPr>
    <w:rPr>
      <w:rFonts w:ascii="Arial" w:hAnsi="Arial" w:eastAsia="Times New Roman" w:cs="Times New Roman"/>
      <w:caps/>
      <w:color w:val="auto"/>
      <w:spacing w:val="12"/>
      <w:kern w:val="0"/>
      <w:sz w:val="13"/>
      <w:szCs w:val="20"/>
      <w:lang w:eastAsia="fr-FR" w:val="fr-FR" w:bidi="ar-SA"/>
    </w:rPr>
  </w:style>
  <w:style w:type="paragraph" w:styleId="Affairesuivie8pt" w:customStyle="1">
    <w:name w:val="affaire suivie + 8 pt"/>
    <w:qFormat/>
    <w:pPr>
      <w:widowControl/>
      <w:suppressAutoHyphens w:val="true"/>
      <w:bidi w:val="0"/>
      <w:spacing w:lineRule="exact" w:line="230" w:before="0" w:after="0"/>
      <w:jc w:val="left"/>
      <w:textAlignment w:val="baseline"/>
    </w:pPr>
    <w:rPr>
      <w:rFonts w:ascii="Times New Roman" w:hAnsi="Times New Roman" w:eastAsia="Times New Roman" w:cs="Times New Roman"/>
      <w:color w:val="auto"/>
      <w:spacing w:val="12"/>
      <w:kern w:val="0"/>
      <w:sz w:val="16"/>
      <w:szCs w:val="20"/>
      <w:lang w:eastAsia="fr-FR" w:val="fr-FR" w:bidi="ar-SA"/>
    </w:rPr>
  </w:style>
  <w:style w:type="paragraph" w:styleId="Footnote" w:customStyle="1">
    <w:name w:val="Footnote"/>
    <w:basedOn w:val="Normal"/>
    <w:qFormat/>
    <w:pPr/>
    <w:rPr/>
  </w:style>
  <w:style w:type="paragraph" w:styleId="Date1" w:customStyle="1">
    <w:name w:val="Date1"/>
    <w:basedOn w:val="Normal"/>
    <w:qFormat/>
    <w:pPr>
      <w:tabs>
        <w:tab w:val="clear" w:pos="709"/>
        <w:tab w:val="left" w:pos="6804" w:leader="none"/>
      </w:tabs>
      <w:spacing w:lineRule="exact" w:line="230" w:before="160" w:after="200"/>
    </w:pPr>
    <w:rPr>
      <w:spacing w:val="12"/>
      <w:sz w:val="22"/>
    </w:rPr>
  </w:style>
  <w:style w:type="paragraph" w:styleId="Styleadresse65pt" w:customStyle="1">
    <w:name w:val="Style adresse + 65 pt"/>
    <w:basedOn w:val="Adresse6"/>
    <w:qFormat/>
    <w:pPr/>
    <w:rPr>
      <w:szCs w:val="13"/>
    </w:rPr>
  </w:style>
  <w:style w:type="paragraph" w:styleId="Dircom1religne" w:customStyle="1">
    <w:name w:val="dircom 1re ligne"/>
    <w:basedOn w:val="Normal"/>
    <w:qFormat/>
    <w:pPr>
      <w:tabs>
        <w:tab w:val="clear" w:pos="709"/>
        <w:tab w:val="left" w:pos="6804" w:leader="none"/>
      </w:tabs>
      <w:spacing w:lineRule="exact" w:line="230" w:before="160" w:after="200"/>
    </w:pPr>
    <w:rPr>
      <w:rFonts w:ascii="Arial" w:hAnsi="Arial"/>
      <w:caps/>
      <w:spacing w:val="12"/>
      <w:sz w:val="13"/>
    </w:rPr>
  </w:style>
  <w:style w:type="paragraph" w:styleId="Dircom" w:customStyle="1">
    <w:name w:val="Dircom"/>
    <w:basedOn w:val="Dircom1religne"/>
    <w:qFormat/>
    <w:pPr>
      <w:spacing w:before="0" w:after="200"/>
    </w:pPr>
    <w:rPr/>
  </w:style>
  <w:style w:type="paragraph" w:styleId="Signature1" w:customStyle="1">
    <w:name w:val="Signature1"/>
    <w:basedOn w:val="Normal"/>
    <w:qFormat/>
    <w:pPr>
      <w:tabs>
        <w:tab w:val="clear" w:pos="709"/>
        <w:tab w:val="left" w:pos="6521" w:leader="none"/>
      </w:tabs>
      <w:spacing w:lineRule="exact" w:line="260"/>
    </w:pPr>
    <w:rPr>
      <w:spacing w:val="12"/>
      <w:sz w:val="22"/>
    </w:rPr>
  </w:style>
  <w:style w:type="paragraph" w:styleId="Teledoc" w:customStyle="1">
    <w:name w:val="teledoc"/>
    <w:basedOn w:val="Normal"/>
    <w:qFormat/>
    <w:pPr>
      <w:spacing w:lineRule="exact" w:line="230" w:before="60" w:after="200"/>
    </w:pPr>
    <w:rPr>
      <w:rFonts w:ascii="Arial" w:hAnsi="Arial"/>
      <w:caps/>
      <w:spacing w:val="12"/>
      <w:sz w:val="12"/>
    </w:rPr>
  </w:style>
  <w:style w:type="paragraph" w:styleId="En-tteetpieddepage" w:customStyle="1">
    <w:name w:val="En-tête et pied de page"/>
    <w:basedOn w:val="Standard"/>
    <w:qFormat/>
    <w:pPr>
      <w:suppressLineNumbers/>
      <w:tabs>
        <w:tab w:val="clear" w:pos="709"/>
        <w:tab w:val="center" w:pos="4819" w:leader="none"/>
        <w:tab w:val="right" w:pos="9638" w:leader="none"/>
      </w:tabs>
    </w:pPr>
    <w:rPr/>
  </w:style>
  <w:style w:type="paragraph" w:styleId="En-tte">
    <w:name w:val="Header"/>
    <w:basedOn w:val="Normal"/>
    <w:pPr>
      <w:tabs>
        <w:tab w:val="clear" w:pos="709"/>
        <w:tab w:val="center" w:pos="4536" w:leader="none"/>
        <w:tab w:val="right" w:pos="9072" w:leader="none"/>
      </w:tabs>
    </w:pPr>
    <w:rPr/>
  </w:style>
  <w:style w:type="paragraph" w:styleId="Rfrence9pt6ptInterligneExactement115pt" w:customStyle="1">
    <w:name w:val="Référence 9 pt : 6 pt Interligne : Exactement 115 pt"/>
    <w:qFormat/>
    <w:pPr>
      <w:widowControl/>
      <w:suppressAutoHyphens w:val="true"/>
      <w:bidi w:val="0"/>
      <w:spacing w:lineRule="atLeast" w:line="260" w:before="0" w:after="0"/>
      <w:jc w:val="left"/>
      <w:textAlignment w:val="baseline"/>
    </w:pPr>
    <w:rPr>
      <w:rFonts w:ascii="Times New Roman" w:hAnsi="Times New Roman" w:eastAsia="Times New Roman" w:cs="Times New Roman"/>
      <w:color w:val="auto"/>
      <w:spacing w:val="12"/>
      <w:kern w:val="0"/>
      <w:sz w:val="18"/>
      <w:szCs w:val="20"/>
      <w:lang w:eastAsia="fr-FR" w:val="fr-FR" w:bidi="ar-SA"/>
    </w:rPr>
  </w:style>
  <w:style w:type="paragraph" w:styleId="Corpsdutexte" w:customStyle="1">
    <w:name w:val="Corps du texte"/>
    <w:qFormat/>
    <w:pPr>
      <w:widowControl/>
      <w:suppressAutoHyphens w:val="true"/>
      <w:bidi w:val="0"/>
      <w:spacing w:lineRule="atLeast" w:line="260" w:before="0" w:after="0"/>
      <w:ind w:left="1701" w:hanging="0"/>
      <w:jc w:val="both"/>
      <w:textAlignment w:val="baseline"/>
    </w:pPr>
    <w:rPr>
      <w:rFonts w:ascii="Times New Roman" w:hAnsi="Times New Roman" w:eastAsia="Times New Roman" w:cs="Times New Roman"/>
      <w:color w:val="auto"/>
      <w:spacing w:val="6"/>
      <w:kern w:val="0"/>
      <w:sz w:val="22"/>
      <w:szCs w:val="22"/>
      <w:lang w:eastAsia="fr-FR" w:val="fr-FR" w:bidi="ar-SA"/>
    </w:rPr>
  </w:style>
  <w:style w:type="paragraph" w:styleId="Addressee" w:customStyle="1">
    <w:name w:val="Addressee"/>
    <w:basedOn w:val="Date1"/>
    <w:qFormat/>
    <w:pPr>
      <w:spacing w:lineRule="auto" w:line="240" w:before="0" w:after="200"/>
    </w:pPr>
    <w:rPr/>
  </w:style>
  <w:style w:type="paragraph" w:styleId="Pieddepage">
    <w:name w:val="Footer"/>
    <w:basedOn w:val="Normal"/>
    <w:pPr>
      <w:tabs>
        <w:tab w:val="clear" w:pos="709"/>
        <w:tab w:val="center" w:pos="4536" w:leader="none"/>
        <w:tab w:val="right" w:pos="9072" w:leader="none"/>
      </w:tabs>
    </w:pPr>
    <w:rPr/>
  </w:style>
  <w:style w:type="paragraph" w:styleId="MissionsdelaDGEFP" w:customStyle="1">
    <w:name w:val="Missions de la DGEFP"/>
    <w:basedOn w:val="Affairesuivie8pt"/>
    <w:qFormat/>
    <w:pPr>
      <w:spacing w:lineRule="auto" w:line="240"/>
    </w:pPr>
    <w:rPr>
      <w:b/>
      <w:sz w:val="18"/>
      <w:szCs w:val="18"/>
    </w:rPr>
  </w:style>
  <w:style w:type="paragraph" w:styleId="Sous-directionsdpartements" w:customStyle="1">
    <w:name w:val="Sous-directions départements"/>
    <w:basedOn w:val="Teledoc"/>
    <w:qFormat/>
    <w:pPr/>
    <w:rPr>
      <w:sz w:val="13"/>
      <w:szCs w:val="13"/>
    </w:rPr>
  </w:style>
  <w:style w:type="paragraph" w:styleId="Objet11pt" w:customStyle="1">
    <w:name w:val="Objet + 11 pt"/>
    <w:basedOn w:val="Normal"/>
    <w:qFormat/>
    <w:pPr>
      <w:spacing w:lineRule="exact" w:line="260"/>
    </w:pPr>
    <w:rPr>
      <w:b/>
      <w:bCs/>
      <w:spacing w:val="12"/>
      <w:sz w:val="22"/>
    </w:rPr>
  </w:style>
  <w:style w:type="paragraph" w:styleId="DocumentMap">
    <w:name w:val="Document Map"/>
    <w:basedOn w:val="Normal"/>
    <w:qFormat/>
    <w:pPr>
      <w:shd w:val="clear" w:color="auto" w:fill="000080"/>
    </w:pPr>
    <w:rPr>
      <w:rFonts w:ascii="Tahoma" w:hAnsi="Tahoma" w:cs="Tahoma"/>
    </w:rPr>
  </w:style>
  <w:style w:type="paragraph" w:styleId="Styledircom1religne75pt" w:customStyle="1">
    <w:name w:val="Style dircom 1re ligne + 75 pt"/>
    <w:basedOn w:val="Dircom1religne"/>
    <w:qFormat/>
    <w:pPr>
      <w:jc w:val="left"/>
    </w:pPr>
    <w:rPr>
      <w:sz w:val="15"/>
    </w:rPr>
  </w:style>
  <w:style w:type="paragraph" w:styleId="Styleaffairesuivie8pt" w:customStyle="1">
    <w:name w:val="Style affaire suivie + 8 pt"/>
    <w:basedOn w:val="Affairesuivie8pt"/>
    <w:qFormat/>
    <w:pPr/>
    <w:rPr>
      <w:szCs w:val="16"/>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atLeast" w:line="270" w:before="100" w:after="100"/>
      <w:jc w:val="left"/>
    </w:pPr>
    <w:rPr>
      <w:rFonts w:ascii="Arial" w:hAnsi="Arial" w:eastAsia="Arial Unicode MS" w:cs="Arial"/>
      <w:color w:val="3A3838"/>
      <w:sz w:val="21"/>
      <w:szCs w:val="21"/>
    </w:rPr>
  </w:style>
  <w:style w:type="paragraph" w:styleId="Rien" w:customStyle="1">
    <w:name w:val="rien"/>
    <w:basedOn w:val="Normal"/>
    <w:qFormat/>
    <w:pPr/>
    <w:rPr>
      <w:sz w:val="22"/>
    </w:rPr>
  </w:style>
  <w:style w:type="paragraph" w:styleId="Sommaire" w:customStyle="1">
    <w:name w:val="sommaire"/>
    <w:basedOn w:val="Normal"/>
    <w:next w:val="Normal"/>
    <w:qFormat/>
    <w:pPr>
      <w:spacing w:before="720" w:after="480"/>
      <w:jc w:val="center"/>
    </w:pPr>
    <w:rPr>
      <w:rFonts w:ascii="Arial" w:hAnsi="Arial"/>
      <w:b/>
      <w:caps/>
      <w:sz w:val="28"/>
    </w:rPr>
  </w:style>
  <w:style w:type="paragraph" w:styleId="Tabledesmatiresniveau1">
    <w:name w:val="TOC 1"/>
    <w:basedOn w:val="Normal"/>
    <w:next w:val="Normal"/>
    <w:autoRedefine/>
    <w:pPr>
      <w:pageBreakBefore/>
      <w:tabs>
        <w:tab w:val="clear" w:pos="709"/>
        <w:tab w:val="left" w:pos="400" w:leader="none"/>
        <w:tab w:val="right" w:pos="9071" w:leader="none"/>
      </w:tabs>
      <w:spacing w:before="360" w:after="180"/>
    </w:pPr>
    <w:rPr>
      <w:rFonts w:ascii="Arial" w:hAnsi="Arial"/>
      <w:b/>
      <w:caps/>
      <w:sz w:val="24"/>
    </w:rPr>
  </w:style>
  <w:style w:type="paragraph" w:styleId="Dest" w:customStyle="1">
    <w:name w:val="Dest"/>
    <w:basedOn w:val="Normal"/>
    <w:qFormat/>
    <w:pPr>
      <w:spacing w:before="480" w:after="600"/>
      <w:ind w:left="74" w:hanging="0"/>
      <w:jc w:val="left"/>
    </w:pPr>
    <w:rPr>
      <w:sz w:val="22"/>
    </w:rPr>
  </w:style>
  <w:style w:type="paragraph" w:styleId="BlockText">
    <w:name w:val="Block Text"/>
    <w:basedOn w:val="Normal"/>
    <w:qFormat/>
    <w:pPr>
      <w:ind w:left="851" w:right="1132" w:hanging="0"/>
    </w:pPr>
    <w:rPr>
      <w:sz w:val="24"/>
    </w:rPr>
  </w:style>
  <w:style w:type="paragraph" w:styleId="Retraitdecorpsdetexte">
    <w:name w:val="Body Text Indent"/>
    <w:basedOn w:val="Normal"/>
    <w:pPr>
      <w:ind w:left="851" w:hanging="0"/>
    </w:pPr>
    <w:rPr>
      <w:sz w:val="24"/>
    </w:rPr>
  </w:style>
  <w:style w:type="paragraph" w:styleId="ListParagraph">
    <w:name w:val="List Paragraph"/>
    <w:basedOn w:val="Normal"/>
    <w:uiPriority w:val="34"/>
    <w:qFormat/>
    <w:pPr>
      <w:ind w:left="720" w:hanging="0"/>
    </w:pPr>
    <w:rPr/>
  </w:style>
  <w:style w:type="paragraph" w:styleId="Indexlexicaltitre">
    <w:name w:val="Index Heading"/>
    <w:basedOn w:val="Titre"/>
    <w:pPr/>
    <w:rPr/>
  </w:style>
  <w:style w:type="paragraph" w:styleId="Titredetabledesmatires">
    <w:name w:val="TOC Heading"/>
    <w:basedOn w:val="Titre1"/>
    <w:next w:val="Normal"/>
    <w:pPr>
      <w:keepLines/>
      <w:spacing w:lineRule="auto" w:line="276" w:before="480" w:after="0"/>
      <w:jc w:val="left"/>
    </w:pPr>
    <w:rPr>
      <w:rFonts w:ascii="Cambria" w:hAnsi="Cambria"/>
      <w:bCs/>
      <w:color w:val="365F91"/>
      <w:kern w:val="0"/>
      <w:sz w:val="28"/>
      <w:szCs w:val="28"/>
    </w:rPr>
  </w:style>
  <w:style w:type="paragraph" w:styleId="Tabledesmatiresniveau2">
    <w:name w:val="TOC 2"/>
    <w:basedOn w:val="Normal"/>
    <w:next w:val="Normal"/>
    <w:autoRedefine/>
    <w:pPr>
      <w:tabs>
        <w:tab w:val="clear" w:pos="709"/>
        <w:tab w:val="left" w:pos="1134" w:leader="none"/>
        <w:tab w:val="right" w:pos="10065" w:leader="none"/>
      </w:tabs>
      <w:ind w:left="851" w:hanging="0"/>
    </w:pPr>
    <w:rPr/>
  </w:style>
  <w:style w:type="paragraph" w:styleId="Tabledesmatiresniveau3">
    <w:name w:val="TOC 3"/>
    <w:basedOn w:val="Normal"/>
    <w:next w:val="Normal"/>
    <w:autoRedefine/>
    <w:pPr>
      <w:tabs>
        <w:tab w:val="clear" w:pos="709"/>
        <w:tab w:val="left" w:pos="1100" w:leader="none"/>
        <w:tab w:val="right" w:pos="11045" w:leader="dot"/>
      </w:tabs>
      <w:ind w:left="400" w:firstLine="309"/>
    </w:pPr>
    <w:rPr/>
  </w:style>
  <w:style w:type="paragraph" w:styleId="Endnote" w:customStyle="1">
    <w:name w:val="Endnote"/>
    <w:basedOn w:val="Normal"/>
    <w:qFormat/>
    <w:pPr/>
    <w:rPr/>
  </w:style>
  <w:style w:type="paragraph" w:styleId="Sdfootnote" w:customStyle="1">
    <w:name w:val="sdfootnote"/>
    <w:basedOn w:val="Normal"/>
    <w:qFormat/>
    <w:pPr>
      <w:spacing w:before="100" w:after="200"/>
    </w:pPr>
    <w:rPr>
      <w:sz w:val="24"/>
      <w:szCs w:val="24"/>
    </w:rPr>
  </w:style>
  <w:style w:type="paragraph" w:styleId="Western" w:customStyle="1">
    <w:name w:val="western"/>
    <w:basedOn w:val="Normal"/>
    <w:qFormat/>
    <w:pPr>
      <w:spacing w:lineRule="auto" w:line="276" w:before="100" w:after="198"/>
    </w:pPr>
    <w:rPr>
      <w:rFonts w:ascii="Arial" w:hAnsi="Arial" w:cs="Arial"/>
      <w:sz w:val="26"/>
      <w:szCs w:val="26"/>
    </w:rPr>
  </w:style>
  <w:style w:type="paragraph" w:styleId="Contenudetableau" w:customStyle="1">
    <w:name w:val="Contenu de tableau"/>
    <w:basedOn w:val="Standard"/>
    <w:qFormat/>
    <w:pPr>
      <w:widowControl w:val="false"/>
      <w:suppressLineNumbers/>
    </w:pPr>
    <w:rPr/>
  </w:style>
  <w:style w:type="paragraph" w:styleId="Notedebasdepage">
    <w:name w:val="Footnote Text"/>
    <w:basedOn w:val="Normal"/>
    <w:link w:val="NotedebasdepageCar1"/>
    <w:uiPriority w:val="99"/>
    <w:semiHidden/>
    <w:unhideWhenUsed/>
    <w:rsid w:val="008929ca"/>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1467-437F-4492-99C7-E547E627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Application>LibreOffice/7.5.7.1.M1$Windows_X86_64 LibreOffice_project/9d4bf91ba30c991aaed3b97dd4173f7705c6b5ae</Application>
  <AppVersion>15.0000</AppVersion>
  <Pages>9</Pages>
  <Words>1945</Words>
  <Characters>9803</Characters>
  <CharactersWithSpaces>11385</CharactersWithSpaces>
  <Paragraphs>405</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2023-12-26T09:36:00Z</dcterms:created>
  <dc:creator>JOLLY Ophelie (DEETS-974)</dc:creator>
  <dc:description/>
  <dc:language>fr-FR</dc:language>
  <cp:lastModifiedBy/>
  <cp:lastPrinted>2023-12-27T11:48:15Z</cp:lastPrinted>
  <dcterms:modified xsi:type="dcterms:W3CDTF">2023-12-27T15:10:49Z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